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eastAsia="黑体"/>
          <w:b/>
          <w:sz w:val="44"/>
          <w:szCs w:val="44"/>
          <w:lang w:eastAsia="zh-CN"/>
        </w:rPr>
      </w:pPr>
      <w:r>
        <w:rPr>
          <w:rFonts w:hint="eastAsia" w:ascii="黑体" w:eastAsia="黑体"/>
          <w:b/>
          <w:sz w:val="44"/>
          <w:szCs w:val="44"/>
        </w:rPr>
        <w:t>灵寿县信访局本级202</w:t>
      </w:r>
      <w:r>
        <w:rPr>
          <w:rFonts w:hint="eastAsia" w:ascii="黑体" w:eastAsia="黑体"/>
          <w:b/>
          <w:sz w:val="44"/>
          <w:szCs w:val="44"/>
          <w:lang w:eastAsia="zh-CN"/>
        </w:rPr>
        <w:t>2</w:t>
      </w:r>
      <w:r>
        <w:rPr>
          <w:rFonts w:hint="eastAsia" w:ascii="黑体" w:eastAsia="黑体"/>
          <w:b/>
          <w:sz w:val="44"/>
          <w:szCs w:val="44"/>
        </w:rPr>
        <w:t>年单位预算信息公开</w:t>
      </w:r>
    </w:p>
    <w:p>
      <w:pPr>
        <w:jc w:val="center"/>
      </w:pPr>
      <w:r>
        <w:rPr>
          <w:rFonts w:ascii="黑体" w:hAnsi="黑体" w:eastAsia="黑体" w:cs="黑体"/>
          <w:b/>
          <w:color w:val="000000"/>
          <w:sz w:val="30"/>
        </w:rPr>
        <w:t xml:space="preserve"> </w:t>
      </w:r>
    </w:p>
    <w:p>
      <w:pPr>
        <w:pStyle w:val="36"/>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一、灵寿县信访局本级收支预算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一、灵寿县信访局本级收支预算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542001灵寿县信访局本级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308.04</w:t>
            </w:r>
          </w:p>
        </w:tc>
        <w:tc>
          <w:tcPr>
            <w:tcW w:w="4535" w:type="dxa"/>
            <w:vAlign w:val="center"/>
          </w:tcPr>
          <w:p>
            <w:pPr>
              <w:pStyle w:val="12"/>
            </w:pPr>
            <w:r>
              <w:t>一、一般公共服务支出</w:t>
            </w:r>
          </w:p>
        </w:tc>
        <w:tc>
          <w:tcPr>
            <w:tcW w:w="2126" w:type="dxa"/>
            <w:vAlign w:val="center"/>
          </w:tcPr>
          <w:p>
            <w:pPr>
              <w:pStyle w:val="11"/>
            </w:pPr>
            <w:r>
              <w:t>275.57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308.04</w:t>
            </w:r>
          </w:p>
        </w:tc>
        <w:tc>
          <w:tcPr>
            <w:tcW w:w="4535" w:type="dxa"/>
            <w:vAlign w:val="center"/>
          </w:tcPr>
          <w:p>
            <w:pPr>
              <w:pStyle w:val="14"/>
            </w:pPr>
            <w:r>
              <w:t>本年支出合计</w:t>
            </w:r>
          </w:p>
        </w:tc>
        <w:tc>
          <w:tcPr>
            <w:tcW w:w="2126" w:type="dxa"/>
            <w:vAlign w:val="center"/>
          </w:tcPr>
          <w:p>
            <w:pPr>
              <w:pStyle w:val="15"/>
            </w:pPr>
            <w:r>
              <w:t>308.04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308.04</w:t>
            </w:r>
          </w:p>
        </w:tc>
        <w:tc>
          <w:tcPr>
            <w:tcW w:w="4535" w:type="dxa"/>
            <w:vAlign w:val="center"/>
          </w:tcPr>
          <w:p>
            <w:pPr>
              <w:pStyle w:val="14"/>
            </w:pPr>
            <w:r>
              <w:t>支出总计</w:t>
            </w:r>
          </w:p>
        </w:tc>
        <w:tc>
          <w:tcPr>
            <w:tcW w:w="2126" w:type="dxa"/>
            <w:vAlign w:val="center"/>
          </w:tcPr>
          <w:p>
            <w:pPr>
              <w:pStyle w:val="15"/>
            </w:pPr>
            <w:r>
              <w:t>308.04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542001灵寿县信访局本级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308.04</w:t>
            </w:r>
          </w:p>
        </w:tc>
        <w:tc>
          <w:tcPr>
            <w:tcW w:w="1134" w:type="dxa"/>
            <w:vAlign w:val="center"/>
          </w:tcPr>
          <w:p>
            <w:pPr>
              <w:pStyle w:val="15"/>
            </w:pPr>
            <w:r>
              <w:t>308.04</w:t>
            </w:r>
          </w:p>
        </w:tc>
        <w:tc>
          <w:tcPr>
            <w:tcW w:w="1134" w:type="dxa"/>
            <w:vAlign w:val="center"/>
          </w:tcPr>
          <w:p>
            <w:pPr>
              <w:pStyle w:val="15"/>
            </w:pPr>
            <w:r>
              <w:t>308.04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2010308</w:t>
            </w:r>
          </w:p>
        </w:tc>
        <w:tc>
          <w:tcPr>
            <w:tcW w:w="1559" w:type="dxa"/>
            <w:vAlign w:val="center"/>
          </w:tcPr>
          <w:p>
            <w:pPr>
              <w:pStyle w:val="12"/>
            </w:pPr>
            <w:r>
              <w:t>信访事务</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21.77</w:t>
            </w:r>
          </w:p>
        </w:tc>
        <w:tc>
          <w:tcPr>
            <w:tcW w:w="1134" w:type="dxa"/>
            <w:vAlign w:val="center"/>
          </w:tcPr>
          <w:p>
            <w:pPr>
              <w:pStyle w:val="11"/>
            </w:pPr>
            <w:r>
              <w:t>21.77</w:t>
            </w:r>
          </w:p>
        </w:tc>
        <w:tc>
          <w:tcPr>
            <w:tcW w:w="1134" w:type="dxa"/>
            <w:vAlign w:val="center"/>
          </w:tcPr>
          <w:p>
            <w:pPr>
              <w:pStyle w:val="11"/>
            </w:pPr>
            <w:r>
              <w:t>21.77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21.77</w:t>
            </w:r>
          </w:p>
        </w:tc>
        <w:tc>
          <w:tcPr>
            <w:tcW w:w="1134" w:type="dxa"/>
            <w:vAlign w:val="center"/>
          </w:tcPr>
          <w:p>
            <w:pPr>
              <w:pStyle w:val="11"/>
            </w:pPr>
            <w:r>
              <w:t>21.77</w:t>
            </w:r>
          </w:p>
        </w:tc>
        <w:tc>
          <w:tcPr>
            <w:tcW w:w="1134" w:type="dxa"/>
            <w:vAlign w:val="center"/>
          </w:tcPr>
          <w:p>
            <w:pPr>
              <w:pStyle w:val="11"/>
            </w:pPr>
            <w:r>
              <w:t>21.77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13.43</w:t>
            </w:r>
          </w:p>
        </w:tc>
        <w:tc>
          <w:tcPr>
            <w:tcW w:w="1134" w:type="dxa"/>
            <w:vAlign w:val="center"/>
          </w:tcPr>
          <w:p>
            <w:pPr>
              <w:pStyle w:val="11"/>
            </w:pPr>
            <w:r>
              <w:t>13.43</w:t>
            </w:r>
          </w:p>
        </w:tc>
        <w:tc>
          <w:tcPr>
            <w:tcW w:w="1134" w:type="dxa"/>
            <w:vAlign w:val="center"/>
          </w:tcPr>
          <w:p>
            <w:pPr>
              <w:pStyle w:val="11"/>
            </w:pPr>
            <w:r>
              <w:t>13.43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8.34</w:t>
            </w:r>
          </w:p>
        </w:tc>
        <w:tc>
          <w:tcPr>
            <w:tcW w:w="1134" w:type="dxa"/>
            <w:vAlign w:val="center"/>
          </w:tcPr>
          <w:p>
            <w:pPr>
              <w:pStyle w:val="11"/>
            </w:pPr>
            <w:r>
              <w:t>8.34</w:t>
            </w:r>
          </w:p>
        </w:tc>
        <w:tc>
          <w:tcPr>
            <w:tcW w:w="1134" w:type="dxa"/>
            <w:vAlign w:val="center"/>
          </w:tcPr>
          <w:p>
            <w:pPr>
              <w:pStyle w:val="11"/>
            </w:pPr>
            <w:r>
              <w:t>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308.04</w:t>
            </w:r>
          </w:p>
        </w:tc>
        <w:tc>
          <w:tcPr>
            <w:tcW w:w="1361" w:type="dxa"/>
            <w:vAlign w:val="center"/>
          </w:tcPr>
          <w:p>
            <w:pPr>
              <w:pStyle w:val="15"/>
            </w:pPr>
            <w:r>
              <w:t>227.12</w:t>
            </w:r>
          </w:p>
        </w:tc>
        <w:tc>
          <w:tcPr>
            <w:tcW w:w="1361" w:type="dxa"/>
            <w:vAlign w:val="center"/>
          </w:tcPr>
          <w:p>
            <w:pPr>
              <w:pStyle w:val="15"/>
            </w:pPr>
            <w:r>
              <w:t>80.92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275.57</w:t>
            </w:r>
          </w:p>
        </w:tc>
        <w:tc>
          <w:tcPr>
            <w:tcW w:w="1361" w:type="dxa"/>
            <w:vAlign w:val="center"/>
          </w:tcPr>
          <w:p>
            <w:pPr>
              <w:pStyle w:val="11"/>
            </w:pPr>
            <w:r>
              <w:t>194.65</w:t>
            </w:r>
          </w:p>
        </w:tc>
        <w:tc>
          <w:tcPr>
            <w:tcW w:w="1361" w:type="dxa"/>
            <w:vAlign w:val="center"/>
          </w:tcPr>
          <w:p>
            <w:pPr>
              <w:pStyle w:val="11"/>
            </w:pPr>
            <w:r>
              <w:t>80.92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275.57</w:t>
            </w:r>
          </w:p>
        </w:tc>
        <w:tc>
          <w:tcPr>
            <w:tcW w:w="1361" w:type="dxa"/>
            <w:vAlign w:val="center"/>
          </w:tcPr>
          <w:p>
            <w:pPr>
              <w:pStyle w:val="11"/>
            </w:pPr>
            <w:r>
              <w:t>194.65</w:t>
            </w:r>
          </w:p>
        </w:tc>
        <w:tc>
          <w:tcPr>
            <w:tcW w:w="1361" w:type="dxa"/>
            <w:vAlign w:val="center"/>
          </w:tcPr>
          <w:p>
            <w:pPr>
              <w:pStyle w:val="11"/>
            </w:pPr>
            <w:r>
              <w:t>80.92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2010308</w:t>
            </w:r>
          </w:p>
        </w:tc>
        <w:tc>
          <w:tcPr>
            <w:tcW w:w="4535" w:type="dxa"/>
            <w:vAlign w:val="center"/>
          </w:tcPr>
          <w:p>
            <w:pPr>
              <w:pStyle w:val="12"/>
            </w:pPr>
            <w:r>
              <w:t>信访事务</w:t>
            </w:r>
          </w:p>
        </w:tc>
        <w:tc>
          <w:tcPr>
            <w:tcW w:w="1361" w:type="dxa"/>
            <w:vAlign w:val="center"/>
          </w:tcPr>
          <w:p>
            <w:pPr>
              <w:pStyle w:val="11"/>
            </w:pPr>
            <w:r>
              <w:t>275.57</w:t>
            </w:r>
          </w:p>
        </w:tc>
        <w:tc>
          <w:tcPr>
            <w:tcW w:w="1361" w:type="dxa"/>
            <w:vAlign w:val="center"/>
          </w:tcPr>
          <w:p>
            <w:pPr>
              <w:pStyle w:val="11"/>
            </w:pPr>
            <w:r>
              <w:t>194.65</w:t>
            </w:r>
          </w:p>
        </w:tc>
        <w:tc>
          <w:tcPr>
            <w:tcW w:w="1361" w:type="dxa"/>
            <w:vAlign w:val="center"/>
          </w:tcPr>
          <w:p>
            <w:pPr>
              <w:pStyle w:val="11"/>
            </w:pPr>
            <w:r>
              <w:t>80.92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21.77</w:t>
            </w:r>
          </w:p>
        </w:tc>
        <w:tc>
          <w:tcPr>
            <w:tcW w:w="1361" w:type="dxa"/>
            <w:vAlign w:val="center"/>
          </w:tcPr>
          <w:p>
            <w:pPr>
              <w:pStyle w:val="11"/>
            </w:pPr>
            <w:r>
              <w:t>21.77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21.77</w:t>
            </w:r>
          </w:p>
        </w:tc>
        <w:tc>
          <w:tcPr>
            <w:tcW w:w="1361" w:type="dxa"/>
            <w:vAlign w:val="center"/>
          </w:tcPr>
          <w:p>
            <w:pPr>
              <w:pStyle w:val="11"/>
            </w:pPr>
            <w:r>
              <w:t>21.77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13.43</w:t>
            </w:r>
          </w:p>
        </w:tc>
        <w:tc>
          <w:tcPr>
            <w:tcW w:w="1361" w:type="dxa"/>
            <w:vAlign w:val="center"/>
          </w:tcPr>
          <w:p>
            <w:pPr>
              <w:pStyle w:val="11"/>
            </w:pPr>
            <w:r>
              <w:t>13.43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8.34</w:t>
            </w:r>
          </w:p>
        </w:tc>
        <w:tc>
          <w:tcPr>
            <w:tcW w:w="1361" w:type="dxa"/>
            <w:vAlign w:val="center"/>
          </w:tcPr>
          <w:p>
            <w:pPr>
              <w:pStyle w:val="11"/>
            </w:pPr>
            <w:r>
              <w:t>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4.40</w:t>
            </w:r>
          </w:p>
        </w:tc>
        <w:tc>
          <w:tcPr>
            <w:tcW w:w="1361" w:type="dxa"/>
            <w:vAlign w:val="center"/>
          </w:tcPr>
          <w:p>
            <w:pPr>
              <w:pStyle w:val="11"/>
            </w:pPr>
            <w:r>
              <w:t>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4.40</w:t>
            </w:r>
          </w:p>
        </w:tc>
        <w:tc>
          <w:tcPr>
            <w:tcW w:w="1361" w:type="dxa"/>
            <w:vAlign w:val="center"/>
          </w:tcPr>
          <w:p>
            <w:pPr>
              <w:pStyle w:val="11"/>
            </w:pPr>
            <w:r>
              <w:t>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4.40</w:t>
            </w:r>
          </w:p>
        </w:tc>
        <w:tc>
          <w:tcPr>
            <w:tcW w:w="1361" w:type="dxa"/>
            <w:vAlign w:val="center"/>
          </w:tcPr>
          <w:p>
            <w:pPr>
              <w:pStyle w:val="11"/>
            </w:pPr>
            <w:r>
              <w:t>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308.04</w:t>
            </w:r>
          </w:p>
        </w:tc>
        <w:tc>
          <w:tcPr>
            <w:tcW w:w="3402" w:type="dxa"/>
            <w:vAlign w:val="center"/>
          </w:tcPr>
          <w:p>
            <w:pPr>
              <w:pStyle w:val="12"/>
            </w:pPr>
            <w:r>
              <w:t>一、一般公共服务支出</w:t>
            </w:r>
          </w:p>
        </w:tc>
        <w:tc>
          <w:tcPr>
            <w:tcW w:w="1474" w:type="dxa"/>
            <w:vAlign w:val="center"/>
          </w:tcPr>
          <w:p>
            <w:pPr>
              <w:pStyle w:val="11"/>
            </w:pPr>
            <w:r>
              <w:t>275.57</w:t>
            </w:r>
          </w:p>
        </w:tc>
        <w:tc>
          <w:tcPr>
            <w:tcW w:w="1474" w:type="dxa"/>
            <w:vAlign w:val="center"/>
          </w:tcPr>
          <w:p>
            <w:pPr>
              <w:pStyle w:val="11"/>
            </w:pPr>
            <w:r>
              <w:t>275.57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21.77</w:t>
            </w:r>
          </w:p>
        </w:tc>
        <w:tc>
          <w:tcPr>
            <w:tcW w:w="1474" w:type="dxa"/>
            <w:vAlign w:val="center"/>
          </w:tcPr>
          <w:p>
            <w:pPr>
              <w:pStyle w:val="11"/>
            </w:pPr>
            <w:r>
              <w:t>21.77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4.40</w:t>
            </w:r>
          </w:p>
        </w:tc>
        <w:tc>
          <w:tcPr>
            <w:tcW w:w="1474" w:type="dxa"/>
            <w:vAlign w:val="center"/>
          </w:tcPr>
          <w:p>
            <w:pPr>
              <w:pStyle w:val="11"/>
            </w:pPr>
            <w:r>
              <w:t>4.40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6.30</w:t>
            </w:r>
          </w:p>
        </w:tc>
        <w:tc>
          <w:tcPr>
            <w:tcW w:w="1474" w:type="dxa"/>
            <w:vAlign w:val="center"/>
          </w:tcPr>
          <w:p>
            <w:pPr>
              <w:pStyle w:val="11"/>
            </w:pPr>
            <w:r>
              <w:t>6.30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308.04</w:t>
            </w:r>
          </w:p>
        </w:tc>
        <w:tc>
          <w:tcPr>
            <w:tcW w:w="3402" w:type="dxa"/>
            <w:vAlign w:val="center"/>
          </w:tcPr>
          <w:p>
            <w:pPr>
              <w:pStyle w:val="14"/>
            </w:pPr>
            <w:r>
              <w:t>本年支出合计</w:t>
            </w:r>
          </w:p>
        </w:tc>
        <w:tc>
          <w:tcPr>
            <w:tcW w:w="1474" w:type="dxa"/>
            <w:vAlign w:val="center"/>
          </w:tcPr>
          <w:p>
            <w:pPr>
              <w:pStyle w:val="15"/>
            </w:pPr>
            <w:r>
              <w:t>308.04</w:t>
            </w:r>
          </w:p>
        </w:tc>
        <w:tc>
          <w:tcPr>
            <w:tcW w:w="1474" w:type="dxa"/>
            <w:vAlign w:val="center"/>
          </w:tcPr>
          <w:p>
            <w:pPr>
              <w:pStyle w:val="15"/>
            </w:pPr>
            <w:r>
              <w:t>308.04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308.04</w:t>
            </w:r>
          </w:p>
        </w:tc>
        <w:tc>
          <w:tcPr>
            <w:tcW w:w="3402" w:type="dxa"/>
            <w:vAlign w:val="center"/>
          </w:tcPr>
          <w:p>
            <w:pPr>
              <w:pStyle w:val="14"/>
            </w:pPr>
            <w:r>
              <w:t>支出总计</w:t>
            </w:r>
          </w:p>
        </w:tc>
        <w:tc>
          <w:tcPr>
            <w:tcW w:w="1474" w:type="dxa"/>
            <w:vAlign w:val="center"/>
          </w:tcPr>
          <w:p>
            <w:pPr>
              <w:pStyle w:val="15"/>
            </w:pPr>
            <w:r>
              <w:t>308.04</w:t>
            </w:r>
          </w:p>
        </w:tc>
        <w:tc>
          <w:tcPr>
            <w:tcW w:w="1474" w:type="dxa"/>
            <w:vAlign w:val="center"/>
          </w:tcPr>
          <w:p>
            <w:pPr>
              <w:pStyle w:val="15"/>
            </w:pPr>
            <w:r>
              <w:t>308.04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308.04</w:t>
            </w:r>
          </w:p>
        </w:tc>
        <w:tc>
          <w:tcPr>
            <w:tcW w:w="2551" w:type="dxa"/>
            <w:vAlign w:val="center"/>
          </w:tcPr>
          <w:p>
            <w:pPr>
              <w:pStyle w:val="15"/>
            </w:pPr>
            <w:r>
              <w:t>227.12</w:t>
            </w:r>
          </w:p>
        </w:tc>
        <w:tc>
          <w:tcPr>
            <w:tcW w:w="2551" w:type="dxa"/>
            <w:vAlign w:val="center"/>
          </w:tcPr>
          <w:p>
            <w:pPr>
              <w:pStyle w:val="15"/>
            </w:pPr>
            <w:r>
              <w:t>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275.57</w:t>
            </w:r>
          </w:p>
        </w:tc>
        <w:tc>
          <w:tcPr>
            <w:tcW w:w="2551" w:type="dxa"/>
            <w:vAlign w:val="center"/>
          </w:tcPr>
          <w:p>
            <w:pPr>
              <w:pStyle w:val="11"/>
            </w:pPr>
            <w:r>
              <w:t>194.65</w:t>
            </w:r>
          </w:p>
        </w:tc>
        <w:tc>
          <w:tcPr>
            <w:tcW w:w="2551" w:type="dxa"/>
            <w:vAlign w:val="center"/>
          </w:tcPr>
          <w:p>
            <w:pPr>
              <w:pStyle w:val="11"/>
            </w:pPr>
            <w:r>
              <w:t>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275.57</w:t>
            </w:r>
          </w:p>
        </w:tc>
        <w:tc>
          <w:tcPr>
            <w:tcW w:w="2551" w:type="dxa"/>
            <w:vAlign w:val="center"/>
          </w:tcPr>
          <w:p>
            <w:pPr>
              <w:pStyle w:val="11"/>
            </w:pPr>
            <w:r>
              <w:t>194.65</w:t>
            </w:r>
          </w:p>
        </w:tc>
        <w:tc>
          <w:tcPr>
            <w:tcW w:w="2551" w:type="dxa"/>
            <w:vAlign w:val="center"/>
          </w:tcPr>
          <w:p>
            <w:pPr>
              <w:pStyle w:val="11"/>
            </w:pPr>
            <w:r>
              <w:t>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2010308</w:t>
            </w:r>
          </w:p>
        </w:tc>
        <w:tc>
          <w:tcPr>
            <w:tcW w:w="4535" w:type="dxa"/>
            <w:vAlign w:val="center"/>
          </w:tcPr>
          <w:p>
            <w:pPr>
              <w:pStyle w:val="12"/>
            </w:pPr>
            <w:r>
              <w:t>信访事务</w:t>
            </w:r>
          </w:p>
        </w:tc>
        <w:tc>
          <w:tcPr>
            <w:tcW w:w="2551" w:type="dxa"/>
            <w:vAlign w:val="center"/>
          </w:tcPr>
          <w:p>
            <w:pPr>
              <w:pStyle w:val="11"/>
            </w:pPr>
            <w:r>
              <w:t>275.57</w:t>
            </w:r>
          </w:p>
        </w:tc>
        <w:tc>
          <w:tcPr>
            <w:tcW w:w="2551" w:type="dxa"/>
            <w:vAlign w:val="center"/>
          </w:tcPr>
          <w:p>
            <w:pPr>
              <w:pStyle w:val="11"/>
            </w:pPr>
            <w:r>
              <w:t>194.65</w:t>
            </w:r>
          </w:p>
        </w:tc>
        <w:tc>
          <w:tcPr>
            <w:tcW w:w="2551" w:type="dxa"/>
            <w:vAlign w:val="center"/>
          </w:tcPr>
          <w:p>
            <w:pPr>
              <w:pStyle w:val="11"/>
            </w:pPr>
            <w:r>
              <w:t>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21.77</w:t>
            </w:r>
          </w:p>
        </w:tc>
        <w:tc>
          <w:tcPr>
            <w:tcW w:w="2551" w:type="dxa"/>
            <w:vAlign w:val="center"/>
          </w:tcPr>
          <w:p>
            <w:pPr>
              <w:pStyle w:val="11"/>
            </w:pPr>
            <w:r>
              <w:t>21.77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21.77</w:t>
            </w:r>
          </w:p>
        </w:tc>
        <w:tc>
          <w:tcPr>
            <w:tcW w:w="2551" w:type="dxa"/>
            <w:vAlign w:val="center"/>
          </w:tcPr>
          <w:p>
            <w:pPr>
              <w:pStyle w:val="11"/>
            </w:pPr>
            <w:r>
              <w:t>21.77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13.43</w:t>
            </w:r>
          </w:p>
        </w:tc>
        <w:tc>
          <w:tcPr>
            <w:tcW w:w="2551" w:type="dxa"/>
            <w:vAlign w:val="center"/>
          </w:tcPr>
          <w:p>
            <w:pPr>
              <w:pStyle w:val="11"/>
            </w:pPr>
            <w:r>
              <w:t>13.43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8.34</w:t>
            </w:r>
          </w:p>
        </w:tc>
        <w:tc>
          <w:tcPr>
            <w:tcW w:w="2551" w:type="dxa"/>
            <w:vAlign w:val="center"/>
          </w:tcPr>
          <w:p>
            <w:pPr>
              <w:pStyle w:val="11"/>
            </w:pPr>
            <w:r>
              <w:t>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227.12</w:t>
            </w:r>
          </w:p>
        </w:tc>
        <w:tc>
          <w:tcPr>
            <w:tcW w:w="2551" w:type="dxa"/>
            <w:vAlign w:val="center"/>
          </w:tcPr>
          <w:p>
            <w:pPr>
              <w:pStyle w:val="15"/>
            </w:pPr>
            <w:r>
              <w:t>210.86</w:t>
            </w:r>
          </w:p>
        </w:tc>
        <w:tc>
          <w:tcPr>
            <w:tcW w:w="2551" w:type="dxa"/>
            <w:vAlign w:val="center"/>
          </w:tcPr>
          <w:p>
            <w:pPr>
              <w:pStyle w:val="15"/>
            </w:pPr>
            <w:r>
              <w:t>16.26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197.33</w:t>
            </w:r>
          </w:p>
        </w:tc>
        <w:tc>
          <w:tcPr>
            <w:tcW w:w="2551" w:type="dxa"/>
            <w:vAlign w:val="center"/>
          </w:tcPr>
          <w:p>
            <w:pPr>
              <w:pStyle w:val="11"/>
            </w:pPr>
            <w:r>
              <w:t>197.33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35.82</w:t>
            </w:r>
          </w:p>
        </w:tc>
        <w:tc>
          <w:tcPr>
            <w:tcW w:w="2551" w:type="dxa"/>
            <w:vAlign w:val="center"/>
          </w:tcPr>
          <w:p>
            <w:pPr>
              <w:pStyle w:val="11"/>
            </w:pPr>
            <w:r>
              <w:t>35.82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13.97</w:t>
            </w:r>
          </w:p>
        </w:tc>
        <w:tc>
          <w:tcPr>
            <w:tcW w:w="2551" w:type="dxa"/>
            <w:vAlign w:val="center"/>
          </w:tcPr>
          <w:p>
            <w:pPr>
              <w:pStyle w:val="11"/>
            </w:pPr>
            <w:r>
              <w:t>13.97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18.28</w:t>
            </w:r>
          </w:p>
        </w:tc>
        <w:tc>
          <w:tcPr>
            <w:tcW w:w="2551" w:type="dxa"/>
            <w:vAlign w:val="center"/>
          </w:tcPr>
          <w:p>
            <w:pPr>
              <w:pStyle w:val="11"/>
            </w:pPr>
            <w:r>
              <w:t>18.28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3.03</w:t>
            </w:r>
          </w:p>
        </w:tc>
        <w:tc>
          <w:tcPr>
            <w:tcW w:w="2551" w:type="dxa"/>
            <w:vAlign w:val="center"/>
          </w:tcPr>
          <w:p>
            <w:pPr>
              <w:pStyle w:val="11"/>
            </w:pPr>
            <w:r>
              <w:t>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8.34</w:t>
            </w:r>
          </w:p>
        </w:tc>
        <w:tc>
          <w:tcPr>
            <w:tcW w:w="2551" w:type="dxa"/>
            <w:vAlign w:val="center"/>
          </w:tcPr>
          <w:p>
            <w:pPr>
              <w:pStyle w:val="11"/>
            </w:pPr>
            <w:r>
              <w:t>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1.08</w:t>
            </w:r>
          </w:p>
        </w:tc>
        <w:tc>
          <w:tcPr>
            <w:tcW w:w="2551" w:type="dxa"/>
            <w:vAlign w:val="center"/>
          </w:tcPr>
          <w:p>
            <w:pPr>
              <w:pStyle w:val="11"/>
            </w:pPr>
            <w:r>
              <w:t>1.08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106.11</w:t>
            </w:r>
          </w:p>
        </w:tc>
        <w:tc>
          <w:tcPr>
            <w:tcW w:w="2551" w:type="dxa"/>
            <w:vAlign w:val="center"/>
          </w:tcPr>
          <w:p>
            <w:pPr>
              <w:pStyle w:val="11"/>
            </w:pPr>
            <w:r>
              <w:t>106.11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16.26</w:t>
            </w:r>
          </w:p>
        </w:tc>
        <w:tc>
          <w:tcPr>
            <w:tcW w:w="2551" w:type="dxa"/>
            <w:vAlign w:val="center"/>
          </w:tcPr>
          <w:p>
            <w:pPr>
              <w:pStyle w:val="11"/>
            </w:pPr>
          </w:p>
        </w:tc>
        <w:tc>
          <w:tcPr>
            <w:tcW w:w="2551" w:type="dxa"/>
            <w:vAlign w:val="center"/>
          </w:tcPr>
          <w:p>
            <w:pPr>
              <w:pStyle w:val="11"/>
            </w:pPr>
            <w:r>
              <w:t>16.26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5.58</w:t>
            </w:r>
          </w:p>
        </w:tc>
        <w:tc>
          <w:tcPr>
            <w:tcW w:w="2551" w:type="dxa"/>
            <w:vAlign w:val="center"/>
          </w:tcPr>
          <w:p>
            <w:pPr>
              <w:pStyle w:val="11"/>
            </w:pPr>
          </w:p>
        </w:tc>
        <w:tc>
          <w:tcPr>
            <w:tcW w:w="2551" w:type="dxa"/>
            <w:vAlign w:val="center"/>
          </w:tcPr>
          <w:p>
            <w:pPr>
              <w:pStyle w:val="11"/>
            </w:pPr>
            <w: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0.88</w:t>
            </w:r>
          </w:p>
        </w:tc>
        <w:tc>
          <w:tcPr>
            <w:tcW w:w="2551" w:type="dxa"/>
            <w:vAlign w:val="center"/>
          </w:tcPr>
          <w:p>
            <w:pPr>
              <w:pStyle w:val="11"/>
            </w:pPr>
          </w:p>
        </w:tc>
        <w:tc>
          <w:tcPr>
            <w:tcW w:w="2551"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0.88</w:t>
            </w:r>
          </w:p>
        </w:tc>
        <w:tc>
          <w:tcPr>
            <w:tcW w:w="2551" w:type="dxa"/>
            <w:vAlign w:val="center"/>
          </w:tcPr>
          <w:p>
            <w:pPr>
              <w:pStyle w:val="11"/>
            </w:pPr>
          </w:p>
        </w:tc>
        <w:tc>
          <w:tcPr>
            <w:tcW w:w="2551"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2.78</w:t>
            </w:r>
          </w:p>
        </w:tc>
        <w:tc>
          <w:tcPr>
            <w:tcW w:w="2551" w:type="dxa"/>
            <w:vAlign w:val="center"/>
          </w:tcPr>
          <w:p>
            <w:pPr>
              <w:pStyle w:val="11"/>
            </w:pPr>
          </w:p>
        </w:tc>
        <w:tc>
          <w:tcPr>
            <w:tcW w:w="2551" w:type="dxa"/>
            <w:vAlign w:val="center"/>
          </w:tcPr>
          <w:p>
            <w:pPr>
              <w:pStyle w:val="11"/>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0.79</w:t>
            </w:r>
          </w:p>
        </w:tc>
        <w:tc>
          <w:tcPr>
            <w:tcW w:w="2551" w:type="dxa"/>
            <w:vAlign w:val="center"/>
          </w:tcPr>
          <w:p>
            <w:pPr>
              <w:pStyle w:val="11"/>
            </w:pPr>
          </w:p>
        </w:tc>
        <w:tc>
          <w:tcPr>
            <w:tcW w:w="2551" w:type="dxa"/>
            <w:vAlign w:val="center"/>
          </w:tcPr>
          <w:p>
            <w:pPr>
              <w:pStyle w:val="11"/>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4.02</w:t>
            </w:r>
          </w:p>
        </w:tc>
        <w:tc>
          <w:tcPr>
            <w:tcW w:w="2551" w:type="dxa"/>
            <w:vAlign w:val="center"/>
          </w:tcPr>
          <w:p>
            <w:pPr>
              <w:pStyle w:val="11"/>
            </w:pPr>
          </w:p>
        </w:tc>
        <w:tc>
          <w:tcPr>
            <w:tcW w:w="2551" w:type="dxa"/>
            <w:vAlign w:val="center"/>
          </w:tcPr>
          <w:p>
            <w:pPr>
              <w:pStyle w:val="11"/>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0.43</w:t>
            </w:r>
          </w:p>
        </w:tc>
        <w:tc>
          <w:tcPr>
            <w:tcW w:w="2551" w:type="dxa"/>
            <w:vAlign w:val="center"/>
          </w:tcPr>
          <w:p>
            <w:pPr>
              <w:pStyle w:val="11"/>
            </w:pPr>
          </w:p>
        </w:tc>
        <w:tc>
          <w:tcPr>
            <w:tcW w:w="2551"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13.53</w:t>
            </w:r>
          </w:p>
        </w:tc>
        <w:tc>
          <w:tcPr>
            <w:tcW w:w="2551" w:type="dxa"/>
            <w:vAlign w:val="center"/>
          </w:tcPr>
          <w:p>
            <w:pPr>
              <w:pStyle w:val="11"/>
            </w:pPr>
            <w:r>
              <w:t>13.53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1.93</w:t>
            </w:r>
          </w:p>
        </w:tc>
        <w:tc>
          <w:tcPr>
            <w:tcW w:w="2551" w:type="dxa"/>
            <w:vAlign w:val="center"/>
          </w:tcPr>
          <w:p>
            <w:pPr>
              <w:pStyle w:val="11"/>
            </w:pPr>
            <w:r>
              <w:t>1.93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0.08</w:t>
            </w:r>
          </w:p>
        </w:tc>
        <w:tc>
          <w:tcPr>
            <w:tcW w:w="2551" w:type="dxa"/>
            <w:vAlign w:val="center"/>
          </w:tcPr>
          <w:p>
            <w:pPr>
              <w:pStyle w:val="11"/>
            </w:pPr>
            <w:r>
              <w:t>0.08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灵寿县信访局本级2022年单位预算信息公开情况说明</w:t>
      </w:r>
    </w:p>
    <w:p>
      <w:pPr>
        <w:spacing w:line="500" w:lineRule="exact"/>
        <w:ind w:firstLine="560"/>
      </w:pPr>
      <w:r>
        <w:rPr>
          <w:rFonts w:eastAsia="方正仿宋_GBK"/>
          <w:color w:val="000000"/>
          <w:sz w:val="28"/>
        </w:rPr>
        <w:t>按照</w:t>
      </w:r>
      <w:bookmarkStart w:id="1" w:name="_GoBack"/>
      <w:r>
        <w:rPr>
          <w:rFonts w:eastAsia="方正仿宋_GBK"/>
          <w:color w:val="auto"/>
          <w:sz w:val="28"/>
        </w:rPr>
        <w:t>《</w:t>
      </w:r>
      <w:r>
        <w:rPr>
          <w:rFonts w:hint="eastAsia" w:eastAsia="方正仿宋_GBK"/>
          <w:color w:val="auto"/>
          <w:sz w:val="28"/>
          <w:lang w:eastAsia="zh-CN"/>
        </w:rPr>
        <w:t>中华人民共和国</w:t>
      </w:r>
      <w:r>
        <w:rPr>
          <w:rFonts w:eastAsia="方正仿宋_GBK"/>
          <w:color w:val="auto"/>
          <w:sz w:val="28"/>
        </w:rPr>
        <w:t>预算法》</w:t>
      </w:r>
      <w:bookmarkEnd w:id="1"/>
      <w:r>
        <w:rPr>
          <w:rFonts w:eastAsia="方正仿宋_GBK"/>
          <w:color w:val="000000"/>
          <w:sz w:val="28"/>
        </w:rPr>
        <w:t>、《地方预决算公开操作规程》和《关于进一步推进预算公开工作的实施意见》规定，现将灵寿县信访局本级2022年单位预算公开如下：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（一）研究提出全县信访工作思路。</w:t>
      </w:r>
    </w:p>
    <w:p>
      <w:pPr>
        <w:pStyle w:val="29"/>
      </w:pPr>
      <w:r>
        <w:t>（二）办理人民群众来信，接待群众来访，受理群众网上投诉，查办信访案件，负责人民群众建议征集工作。</w:t>
      </w:r>
    </w:p>
    <w:p>
      <w:pPr>
        <w:pStyle w:val="29"/>
      </w:pPr>
      <w:r>
        <w:t>（三）调查研究和综合分析全县信访形势及信访工作状况，总结推广各部门信访工作经验，提出改进和加强信访工作的意见和建议。</w:t>
      </w:r>
    </w:p>
    <w:p>
      <w:pPr>
        <w:pStyle w:val="29"/>
      </w:pPr>
      <w:r>
        <w:t>（四）参与组织、协调、指导全县社会治安综合治理和维护社会政治稳定工作，协助保障国家、省、市、县重大政治活动顺利进行，参与处理影响社会政治稳定的突发性、群体性事件。</w:t>
      </w:r>
    </w:p>
    <w:p>
      <w:pPr>
        <w:pStyle w:val="29"/>
      </w:pPr>
      <w:r>
        <w:t>（五）督促检查和指导全县乡（镇）党委、政府和县直部门的信访工作。对乡（镇）党委、政府和县直部门信访工作年度责任目标进行考核，对全县社会治安综合治理和维护社会政治稳定年度责任目标中有关信访工作进行考核。</w:t>
      </w:r>
    </w:p>
    <w:p>
      <w:pPr>
        <w:pStyle w:val="29"/>
      </w:pPr>
      <w:r>
        <w:t>（六）协助国家、省、市信访局处理灵寿县群众进京上访工作，综合协调处理跨地区、跨部门、跨行业的重要信访问题，协助公安机关维护县委、县政府机关正常工作秩序。</w:t>
      </w:r>
    </w:p>
    <w:p>
      <w:pPr>
        <w:pStyle w:val="29"/>
      </w:pPr>
      <w:r>
        <w:t>（七）负责省、市领导包联案件和县领导公开接访及包联案件的组织协调工作。</w:t>
      </w:r>
    </w:p>
    <w:p>
      <w:pPr>
        <w:pStyle w:val="29"/>
      </w:pPr>
      <w:r>
        <w:t>（八）承担灵寿县信访工作联席会议的日常工作，督促落实联席会议决定的事项。</w:t>
      </w:r>
    </w:p>
    <w:p>
      <w:pPr>
        <w:pStyle w:val="29"/>
      </w:pPr>
      <w:r>
        <w:t>（九）完成县委、县政府以及国家、省、市信访局交办的其他任务。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灵寿县信访局本级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反映本单位当年全部收入。2022年预算收入308.04万元，其中：一般公共预算收入308.04万元，</w:t>
      </w:r>
      <w:r>
        <w:rPr>
          <w:rFonts w:hint="eastAsia" w:eastAsiaTheme="minorEastAsia"/>
          <w:lang w:eastAsia="zh-CN"/>
        </w:rPr>
        <w:t>政府性</w:t>
      </w:r>
      <w:r>
        <w:t>基金预算收入0万元，国有资本经营预算收入0万元，财政专户核拨收入0万元，单位资金收入0万元，上年结转结余0万元。</w:t>
      </w:r>
    </w:p>
    <w:p>
      <w:pPr>
        <w:pStyle w:val="30"/>
      </w:pPr>
      <w:r>
        <w:t>2、支出说明</w:t>
      </w:r>
    </w:p>
    <w:p>
      <w:pPr>
        <w:pStyle w:val="30"/>
      </w:pPr>
      <w:r>
        <w:t>收支预算总表支出栏、基本支出表、项目支出表按经济分类和支出功能分类科目编制，反映灵寿县信访局</w:t>
      </w:r>
      <w:r>
        <w:rPr>
          <w:rFonts w:hint="eastAsia" w:eastAsiaTheme="minorEastAsia"/>
          <w:lang w:eastAsia="zh-CN"/>
        </w:rPr>
        <w:t>2022</w:t>
      </w:r>
      <w:r>
        <w:t>年度单位预算中支出预算的总体情况。2022年单位预算支出为308.04万元，其中基本支出227.12万元，包括人员经费210.86万元和日常公用经费16.26万元；项目支出80.92万元，主要是信访工作专项经费70万元和政府购买劳务服务费10.92万元；其他支出0万元。</w:t>
      </w:r>
    </w:p>
    <w:p>
      <w:pPr>
        <w:pStyle w:val="30"/>
      </w:pPr>
      <w:r>
        <w:t>3、比上年增减情况</w:t>
      </w:r>
    </w:p>
    <w:p>
      <w:pPr>
        <w:pStyle w:val="30"/>
      </w:pPr>
      <w:r>
        <w:t>2022年单位预算收支安排308.04万元，较2021年增加7.46万元，其中：基本支出减少3.46万元，主要是有人员调动，相应人员经费变动；项目支出增加10.92万元，主要是今年政府购买劳务服务费在项目中列支；其他支出无增减变化。</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31"/>
      </w:pPr>
      <w:r>
        <w:t>2022年，</w:t>
      </w:r>
      <w:r>
        <w:rPr>
          <w:rFonts w:hint="eastAsia" w:eastAsiaTheme="minorEastAsia"/>
          <w:lang w:eastAsia="zh-CN"/>
        </w:rPr>
        <w:t>我</w:t>
      </w:r>
      <w:r>
        <w:t>单位机关运行经费共计安排16.26万元，主要用于保证机关正常运转的办公费、办公用房水电费、办公用房取暖费、工会经费、福利费、其他交通费用、党组织活动经费等支出。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公务用车购置及运维费0万元（其中：公务用车购置费0万元，公务用车运行维护费0万元)；公务接待费0元；与2021年相比持平,无增减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1、信访工作专项经费绩效目标表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1.涉密。</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2、政府购买劳务服务费绩效目标表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1.购买服务人数3人，每月20日前足额及时发放工资。</w:t>
            </w:r>
          </w:p>
          <w:p>
            <w:pPr>
              <w:pStyle w:val="26"/>
            </w:pPr>
            <w:r>
              <w:t>2.保障信访接待服务中心工作正常运转，确保来访群众及工作人员的人身安全。</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工作完成率</w:t>
            </w:r>
          </w:p>
        </w:tc>
        <w:tc>
          <w:tcPr>
            <w:tcW w:w="2835" w:type="dxa"/>
            <w:vAlign w:val="center"/>
          </w:tcPr>
          <w:p>
            <w:pPr>
              <w:pStyle w:val="26"/>
            </w:pPr>
            <w:r>
              <w:t>实际完成工作占应完成工作的比率。</w:t>
            </w:r>
          </w:p>
        </w:tc>
        <w:tc>
          <w:tcPr>
            <w:tcW w:w="2551" w:type="dxa"/>
            <w:vAlign w:val="center"/>
          </w:tcPr>
          <w:p>
            <w:pPr>
              <w:pStyle w:val="26"/>
            </w:pPr>
            <w:r>
              <w:t>100%</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购买服务人数</w:t>
            </w:r>
          </w:p>
        </w:tc>
        <w:tc>
          <w:tcPr>
            <w:tcW w:w="2835" w:type="dxa"/>
            <w:vAlign w:val="center"/>
          </w:tcPr>
          <w:p>
            <w:pPr>
              <w:pStyle w:val="26"/>
            </w:pPr>
            <w:r>
              <w:t>根据工作需要购买服务情况。</w:t>
            </w:r>
          </w:p>
        </w:tc>
        <w:tc>
          <w:tcPr>
            <w:tcW w:w="2551" w:type="dxa"/>
            <w:vAlign w:val="center"/>
          </w:tcPr>
          <w:p>
            <w:pPr>
              <w:pStyle w:val="26"/>
            </w:pPr>
            <w:r>
              <w:t>3人</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工资发放时间</w:t>
            </w:r>
          </w:p>
        </w:tc>
        <w:tc>
          <w:tcPr>
            <w:tcW w:w="2835" w:type="dxa"/>
            <w:vAlign w:val="center"/>
          </w:tcPr>
          <w:p>
            <w:pPr>
              <w:pStyle w:val="26"/>
            </w:pPr>
            <w:r>
              <w:t>每月20日前发放当月工资。</w:t>
            </w:r>
          </w:p>
        </w:tc>
        <w:tc>
          <w:tcPr>
            <w:tcW w:w="2551" w:type="dxa"/>
            <w:vAlign w:val="center"/>
          </w:tcPr>
          <w:p>
            <w:pPr>
              <w:pStyle w:val="26"/>
            </w:pPr>
            <w:r>
              <w:t>每月20日前</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月工资标准</w:t>
            </w:r>
          </w:p>
        </w:tc>
        <w:tc>
          <w:tcPr>
            <w:tcW w:w="2835" w:type="dxa"/>
            <w:vAlign w:val="center"/>
          </w:tcPr>
          <w:p>
            <w:pPr>
              <w:pStyle w:val="26"/>
            </w:pPr>
            <w:r>
              <w:t>每人每月1680元。</w:t>
            </w:r>
          </w:p>
        </w:tc>
        <w:tc>
          <w:tcPr>
            <w:tcW w:w="2551" w:type="dxa"/>
            <w:vAlign w:val="center"/>
          </w:tcPr>
          <w:p>
            <w:pPr>
              <w:pStyle w:val="26"/>
            </w:pPr>
            <w:r>
              <w:t>1680元/月/人</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保障工作正常运转</w:t>
            </w:r>
          </w:p>
        </w:tc>
        <w:tc>
          <w:tcPr>
            <w:tcW w:w="2835" w:type="dxa"/>
            <w:vAlign w:val="center"/>
          </w:tcPr>
          <w:p>
            <w:pPr>
              <w:pStyle w:val="26"/>
            </w:pPr>
            <w:r>
              <w:t>保障信访接待服务中心工作正常运转情况。</w:t>
            </w:r>
          </w:p>
        </w:tc>
        <w:tc>
          <w:tcPr>
            <w:tcW w:w="2551" w:type="dxa"/>
            <w:vAlign w:val="center"/>
          </w:tcPr>
          <w:p>
            <w:pPr>
              <w:pStyle w:val="26"/>
            </w:pPr>
            <w:r>
              <w:t>有效保障</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确保来访群众及工作人员人身安全</w:t>
            </w:r>
          </w:p>
        </w:tc>
        <w:tc>
          <w:tcPr>
            <w:tcW w:w="2835" w:type="dxa"/>
            <w:vAlign w:val="center"/>
          </w:tcPr>
          <w:p>
            <w:pPr>
              <w:pStyle w:val="26"/>
            </w:pPr>
            <w:r>
              <w:t>确保来访群众及工作人员人身安全情况。</w:t>
            </w:r>
          </w:p>
        </w:tc>
        <w:tc>
          <w:tcPr>
            <w:tcW w:w="2551" w:type="dxa"/>
            <w:vAlign w:val="center"/>
          </w:tcPr>
          <w:p>
            <w:pPr>
              <w:pStyle w:val="26"/>
            </w:pPr>
            <w:r>
              <w:t>有效保障</w:t>
            </w:r>
          </w:p>
        </w:tc>
        <w:tc>
          <w:tcPr>
            <w:tcW w:w="2268" w:type="dxa"/>
            <w:vAlign w:val="center"/>
          </w:tcPr>
          <w:p>
            <w:pPr>
              <w:pStyle w:val="2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调查中，服务对象满意和较满意人数占调查人数的比率</w:t>
            </w:r>
          </w:p>
        </w:tc>
        <w:tc>
          <w:tcPr>
            <w:tcW w:w="2551" w:type="dxa"/>
            <w:vAlign w:val="center"/>
          </w:tcPr>
          <w:p>
            <w:pPr>
              <w:pStyle w:val="26"/>
            </w:pPr>
            <w:r>
              <w:t>≥90%</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2022年，灵寿县信访局本级安排政府采购预算0.00万元。具体内容见下表。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542001灵寿县信访局本级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灵寿县信访局本级上年末固定资产金额为</w:t>
      </w:r>
      <w:r>
        <w:rPr>
          <w:rFonts w:hint="eastAsia" w:eastAsiaTheme="minorEastAsia"/>
          <w:color w:val="000000"/>
          <w:sz w:val="28"/>
          <w:lang w:eastAsia="zh-CN"/>
        </w:rPr>
        <w:t>50.74</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542001灵寿县信访局本级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eastAsia" w:eastAsiaTheme="minorEastAsia"/>
                <w:lang w:eastAsia="zh-CN"/>
              </w:rPr>
            </w:pPr>
            <w:r>
              <w:rPr>
                <w:rFonts w:hint="eastAsia" w:eastAsiaTheme="minorEastAsia"/>
                <w:lang w:eastAsia="zh-CN"/>
              </w:rPr>
              <w:t>50.74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eastAsia" w:eastAsiaTheme="minorEastAsia"/>
                <w:lang w:eastAsia="zh-CN"/>
              </w:rPr>
            </w:pPr>
            <w:r>
              <w:rPr>
                <w:rFonts w:hint="eastAsia" w:eastAsiaTheme="minorEastAsia"/>
                <w:lang w:eastAsia="zh-CN"/>
              </w:rPr>
              <w:t>46</w:t>
            </w:r>
          </w:p>
        </w:tc>
        <w:tc>
          <w:tcPr>
            <w:tcW w:w="2835" w:type="dxa"/>
            <w:vAlign w:val="center"/>
          </w:tcPr>
          <w:p>
            <w:pPr>
              <w:pStyle w:val="11"/>
              <w:rPr>
                <w:rFonts w:hint="eastAsia" w:eastAsiaTheme="minorEastAsia"/>
                <w:lang w:eastAsia="zh-CN"/>
              </w:rPr>
            </w:pPr>
            <w:r>
              <w:rPr>
                <w:rFonts w:hint="eastAsia" w:eastAsiaTheme="minorEastAsia"/>
                <w:lang w:eastAsia="zh-CN"/>
              </w:rPr>
              <w:t>50.74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kwYjIwYmQyNzg4N2Y2ZWMwY2YzOTNiN2M5MDIzOTEifQ=="/>
  </w:docVars>
  <w:rsids>
    <w:rsidRoot w:val="00445A9E"/>
    <w:rsid w:val="00445A9E"/>
    <w:rsid w:val="00465DD3"/>
    <w:rsid w:val="004E125C"/>
    <w:rsid w:val="004F66F9"/>
    <w:rsid w:val="00501779"/>
    <w:rsid w:val="006A4AA2"/>
    <w:rsid w:val="0088543B"/>
    <w:rsid w:val="639328A5"/>
    <w:rsid w:val="650F7C6A"/>
    <w:rsid w:val="776A40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uiPriority w:val="99"/>
    <w:pPr>
      <w:tabs>
        <w:tab w:val="center" w:pos="4153"/>
        <w:tab w:val="right" w:pos="8306"/>
      </w:tabs>
      <w:snapToGrid w:val="0"/>
    </w:pPr>
    <w:rPr>
      <w:sz w:val="18"/>
      <w:szCs w:val="18"/>
    </w:rPr>
  </w:style>
  <w:style w:type="paragraph" w:styleId="3">
    <w:name w:val="header"/>
    <w:basedOn w:val="1"/>
    <w:link w:val="37"/>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Normal_447d792f-dd20-4b1e-aa63-a9f226f83ccc"/>
    <w:autoRedefine/>
    <w:qFormat/>
    <w:uiPriority w:val="0"/>
    <w:rPr>
      <w:rFonts w:ascii="Times New Roman" w:hAnsi="Times New Roman" w:eastAsia="Times New Roman" w:cs="Times New Roman"/>
      <w:sz w:val="24"/>
      <w:szCs w:val="24"/>
      <w:lang w:val="en-US" w:eastAsia="uk-UA" w:bidi="ar-SA"/>
    </w:rPr>
  </w:style>
  <w:style w:type="paragraph" w:customStyle="1" w:styleId="25">
    <w:name w:val="单元格样式1_eb73e117-219d-47cc-a137-46691d5a9b8e"/>
    <w:basedOn w:val="1"/>
    <w:autoRedefine/>
    <w:qFormat/>
    <w:uiPriority w:val="0"/>
    <w:pPr>
      <w:jc w:val="center"/>
    </w:pPr>
    <w:rPr>
      <w:rFonts w:ascii="方正书宋_GBK" w:hAnsi="方正书宋_GBK" w:eastAsia="方正书宋_GBK" w:cs="方正书宋_GBK"/>
      <w:b/>
      <w:sz w:val="21"/>
    </w:rPr>
  </w:style>
  <w:style w:type="paragraph" w:customStyle="1" w:styleId="26">
    <w:name w:val="单元格样式2_a38a040b-9eba-49a0-936f-1fa06ce86280"/>
    <w:basedOn w:val="1"/>
    <w:autoRedefine/>
    <w:qFormat/>
    <w:uiPriority w:val="0"/>
    <w:rPr>
      <w:rFonts w:ascii="方正书宋_GBK" w:hAnsi="方正书宋_GBK" w:eastAsia="方正书宋_GBK" w:cs="方正书宋_GBK"/>
      <w:sz w:val="21"/>
    </w:rPr>
  </w:style>
  <w:style w:type="paragraph" w:customStyle="1" w:styleId="27">
    <w:name w:val="单元格样式3_bf3b287a-2256-4106-b36c-49c82fe1aab1"/>
    <w:basedOn w:val="1"/>
    <w:autoRedefine/>
    <w:qFormat/>
    <w:uiPriority w:val="0"/>
    <w:pPr>
      <w:jc w:val="center"/>
    </w:pPr>
    <w:rPr>
      <w:rFonts w:ascii="方正书宋_GBK" w:hAnsi="方正书宋_GBK" w:eastAsia="方正书宋_GBK" w:cs="方正书宋_GBK"/>
      <w:sz w:val="21"/>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3">
    <w:name w:val="TOC 2"/>
    <w:basedOn w:val="1"/>
    <w:autoRedefine/>
    <w:qFormat/>
    <w:uiPriority w:val="0"/>
    <w:pPr>
      <w:ind w:left="240"/>
    </w:pPr>
  </w:style>
  <w:style w:type="paragraph" w:customStyle="1" w:styleId="34">
    <w:name w:val="TOC 3"/>
    <w:basedOn w:val="1"/>
    <w:autoRedefine/>
    <w:qFormat/>
    <w:uiPriority w:val="0"/>
    <w:pPr>
      <w:ind w:left="480"/>
    </w:pPr>
  </w:style>
  <w:style w:type="paragraph" w:customStyle="1" w:styleId="35">
    <w:name w:val="TOC 4"/>
    <w:basedOn w:val="1"/>
    <w:autoRedefine/>
    <w:qFormat/>
    <w:uiPriority w:val="0"/>
    <w:pPr>
      <w:ind w:left="720"/>
    </w:pPr>
  </w:style>
  <w:style w:type="paragraph" w:customStyle="1" w:styleId="36">
    <w:name w:val="TOC 1"/>
    <w:basedOn w:val="1"/>
    <w:autoRedefine/>
    <w:qFormat/>
    <w:uiPriority w:val="0"/>
    <w:pPr>
      <w:spacing w:before="120"/>
      <w:ind w:firstLine="560"/>
    </w:pPr>
    <w:rPr>
      <w:rFonts w:eastAsia="方正仿宋_GBK"/>
      <w:color w:val="000000"/>
      <w:sz w:val="28"/>
    </w:rPr>
  </w:style>
  <w:style w:type="character" w:customStyle="1" w:styleId="37">
    <w:name w:val="页眉 Char"/>
    <w:basedOn w:val="6"/>
    <w:link w:val="3"/>
    <w:autoRedefine/>
    <w:semiHidden/>
    <w:qFormat/>
    <w:uiPriority w:val="99"/>
    <w:rPr>
      <w:rFonts w:eastAsia="Times New Roman"/>
      <w:sz w:val="18"/>
      <w:szCs w:val="18"/>
      <w:lang w:eastAsia="uk-UA"/>
    </w:rPr>
  </w:style>
  <w:style w:type="character" w:customStyle="1" w:styleId="38">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2022-02-15T15:09:48Z</dcterms:created>
  <dcterms:modified xsi:type="dcterms:W3CDTF">2022-02-15T07:09:48Z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2022-02-15T15:09:49Z</dcterms:created>
  <dcterms:modified xsi:type="dcterms:W3CDTF">2022-02-15T07:09:49Z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2022-02-15T15:09:51Z</dcterms:created>
  <dcterms:modified xsi:type="dcterms:W3CDTF">2022-02-15T07:09:50Z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2022-02-15T15:09:51Z</dcterms:created>
  <dcterms:modified xsi:type="dcterms:W3CDTF">2022-02-15T07:09:51Z</dcterms:modified>
</cp:coreProperties>
</file>

<file path=customXml/itemProps1.xml><?xml version="1.0" encoding="utf-8"?>
<ds:datastoreItem xmlns:ds="http://schemas.openxmlformats.org/officeDocument/2006/customXml" ds:itemID="{874BFA44-FD3E-4F58-A7F9-CB266BCE27E6}">
  <ds:schemaRefs/>
</ds:datastoreItem>
</file>

<file path=customXml/itemProps2.xml><?xml version="1.0" encoding="utf-8"?>
<ds:datastoreItem xmlns:ds="http://schemas.openxmlformats.org/officeDocument/2006/customXml" ds:itemID="{1426A6FE-283C-475E-8BE6-7E5E847779C0}">
  <ds:schemaRefs/>
</ds:datastoreItem>
</file>

<file path=customXml/itemProps3.xml><?xml version="1.0" encoding="utf-8"?>
<ds:datastoreItem xmlns:ds="http://schemas.openxmlformats.org/officeDocument/2006/customXml" ds:itemID="{F01DE353-2E3C-405A-AFB7-57C05E6DED2A}">
  <ds:schemaRefs/>
</ds:datastoreItem>
</file>

<file path=customXml/itemProps4.xml><?xml version="1.0" encoding="utf-8"?>
<ds:datastoreItem xmlns:ds="http://schemas.openxmlformats.org/officeDocument/2006/customXml" ds:itemID="{1D9D5E1D-D9F9-4535-A9F6-50D765ADFE21}">
  <ds:schemaRefs/>
</ds:datastoreItem>
</file>

<file path=customXml/itemProps5.xml><?xml version="1.0" encoding="utf-8"?>
<ds:datastoreItem xmlns:ds="http://schemas.openxmlformats.org/officeDocument/2006/customXml" ds:itemID="{DFFDF329-6BE2-4131-A756-894754275F4E}">
  <ds:schemaRefs/>
</ds:datastoreItem>
</file>

<file path=customXml/itemProps6.xml><?xml version="1.0" encoding="utf-8"?>
<ds:datastoreItem xmlns:ds="http://schemas.openxmlformats.org/officeDocument/2006/customXml" ds:itemID="{0B0261D4-DAD5-43AB-8DF0-92452E32BCD1}">
  <ds:schemaRefs/>
</ds:datastoreItem>
</file>

<file path=customXml/itemProps7.xml><?xml version="1.0" encoding="utf-8"?>
<ds:datastoreItem xmlns:ds="http://schemas.openxmlformats.org/officeDocument/2006/customXml" ds:itemID="{5262E84E-A236-41C8-9A9A-DBB26779C139}">
  <ds:schemaRefs/>
</ds:datastoreItem>
</file>

<file path=customXml/itemProps8.xml><?xml version="1.0" encoding="utf-8"?>
<ds:datastoreItem xmlns:ds="http://schemas.openxmlformats.org/officeDocument/2006/customXml" ds:itemID="{0B50A731-7A22-4F25-8A0B-D75824FDD41F}">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1274</Words>
  <Characters>7268</Characters>
  <Lines>60</Lines>
  <Paragraphs>17</Paragraphs>
  <TotalTime>7</TotalTime>
  <ScaleCrop>false</ScaleCrop>
  <LinksUpToDate>false</LinksUpToDate>
  <CharactersWithSpaces>8525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2022-02-15T15:09:00Z</dcterms:created>
  <dc:creator>a</dc:creator>
  <cp:lastModifiedBy>Administrator</cp:lastModifiedBy>
  <dcterms:modified xsi:type="dcterms:W3CDTF">2024-01-16T02:29:23Z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933E8CC7622F441BB242EB6F46459038</vt:lpwstr>
  </property>
</Properties>
</file>