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pPr>
        <w:jc w:val="center"/>
        <w:rPr>
          <w:rFonts w:hint="eastAsia" w:ascii="方正楷体_GBK" w:hAnsi="方正楷体_GBK" w:cs="方正楷体_GBK" w:eastAsiaTheme="minorEastAsia"/>
          <w:b/>
          <w:color w:val="000000"/>
          <w:sz w:val="28"/>
          <w:lang w:eastAsia="zh-CN"/>
        </w:rPr>
      </w:pPr>
      <w:r>
        <w:rPr>
          <w:rFonts w:ascii="方正楷体_GBK" w:hAnsi="方正楷体_GBK" w:eastAsia="方正楷体_GBK" w:cs="方正楷体_GBK"/>
          <w:b/>
          <w:color w:val="000000"/>
          <w:sz w:val="28"/>
        </w:rPr>
        <w:t>部门预算公开表</w:t>
      </w:r>
    </w:p>
    <w:p>
      <w:pPr>
        <w:jc w:val="center"/>
        <w:rPr>
          <w:rFonts w:eastAsiaTheme="minorEastAsia"/>
          <w:lang w:eastAsia="zh-CN"/>
        </w:rPr>
      </w:pPr>
    </w:p>
    <w:p>
      <w:pPr>
        <w:pStyle w:val="3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eastAsiaTheme="minorEastAsia"/>
          <w:lang w:eastAsia="zh-CN"/>
        </w:rPr>
        <w:t>3</w:t>
      </w:r>
      <w:r>
        <w:rPr>
          <w:rFonts w:hint="eastAsia" w:eastAsiaTheme="minorEastAsia"/>
          <w:lang w:eastAsia="zh-CN"/>
        </w:rPr>
        <w:fldChar w:fldCharType="end"/>
      </w:r>
    </w:p>
    <w:p>
      <w:pPr>
        <w:pStyle w:val="36"/>
        <w:tabs>
          <w:tab w:val="right" w:leader="dot" w:pos="14562"/>
        </w:tabs>
      </w:pPr>
      <w:r>
        <w:fldChar w:fldCharType="begin"/>
      </w:r>
      <w:r>
        <w:instrText xml:space="preserve"> HYPERLINK \l "_Toc_2_2_0000000002" </w:instrText>
      </w:r>
      <w:r>
        <w:fldChar w:fldCharType="separate"/>
      </w:r>
      <w:r>
        <w:t>部门预算收入总表</w:t>
      </w:r>
      <w:r>
        <w:tab/>
      </w:r>
      <w:r>
        <w:rPr>
          <w:rFonts w:hint="eastAsia" w:eastAsiaTheme="minorEastAsia"/>
          <w:lang w:eastAsia="zh-CN"/>
        </w:rPr>
        <w:t>5</w:t>
      </w:r>
      <w:r>
        <w:rPr>
          <w:rFonts w:hint="eastAsia" w:eastAsiaTheme="minorEastAsia"/>
          <w:lang w:eastAsia="zh-CN"/>
        </w:rPr>
        <w:fldChar w:fldCharType="end"/>
      </w:r>
    </w:p>
    <w:p>
      <w:pPr>
        <w:pStyle w:val="36"/>
        <w:tabs>
          <w:tab w:val="right" w:leader="dot" w:pos="14562"/>
        </w:tabs>
      </w:pPr>
      <w:r>
        <w:fldChar w:fldCharType="begin"/>
      </w:r>
      <w:r>
        <w:instrText xml:space="preserve"> HYPERLINK \l "_Toc_2_2_0000000003" </w:instrText>
      </w:r>
      <w:r>
        <w:fldChar w:fldCharType="separate"/>
      </w:r>
      <w:r>
        <w:t>部门预算支出总表</w:t>
      </w:r>
      <w:r>
        <w:tab/>
      </w:r>
      <w:r>
        <w:rPr>
          <w:rFonts w:hint="eastAsia" w:eastAsiaTheme="minorEastAsia"/>
          <w:lang w:eastAsia="zh-CN"/>
        </w:rPr>
        <w:t>6</w:t>
      </w:r>
      <w:r>
        <w:rPr>
          <w:rFonts w:hint="eastAsia" w:eastAsiaTheme="minorEastAsia"/>
          <w:lang w:eastAsia="zh-CN"/>
        </w:rPr>
        <w:fldChar w:fldCharType="end"/>
      </w:r>
    </w:p>
    <w:p>
      <w:pPr>
        <w:pStyle w:val="36"/>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eastAsiaTheme="minorEastAsia"/>
          <w:lang w:eastAsia="zh-CN"/>
        </w:rPr>
        <w:t>7</w:t>
      </w:r>
      <w:r>
        <w:rPr>
          <w:rFonts w:hint="eastAsia" w:eastAsiaTheme="minorEastAsia"/>
          <w:lang w:eastAsia="zh-CN"/>
        </w:rPr>
        <w:fldChar w:fldCharType="end"/>
      </w:r>
    </w:p>
    <w:p>
      <w:pPr>
        <w:pStyle w:val="36"/>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eastAsiaTheme="minorEastAsia"/>
          <w:lang w:eastAsia="zh-CN"/>
        </w:rPr>
        <w:t>9</w:t>
      </w:r>
      <w:r>
        <w:rPr>
          <w:rFonts w:hint="eastAsia" w:eastAsiaTheme="minorEastAsia"/>
          <w:lang w:eastAsia="zh-CN"/>
        </w:rPr>
        <w:fldChar w:fldCharType="end"/>
      </w:r>
    </w:p>
    <w:p>
      <w:pPr>
        <w:pStyle w:val="3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eastAsiaTheme="minorEastAsia"/>
          <w:lang w:eastAsia="zh-CN"/>
        </w:rPr>
        <w:t>10</w:t>
      </w:r>
      <w:r>
        <w:rPr>
          <w:rFonts w:hint="eastAsia" w:eastAsiaTheme="minorEastAsia"/>
          <w:lang w:eastAsia="zh-CN"/>
        </w:rPr>
        <w:fldChar w:fldCharType="end"/>
      </w:r>
    </w:p>
    <w:p>
      <w:pPr>
        <w:pStyle w:val="3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jc w:val="center"/>
        <w:rPr>
          <w:rFonts w:hint="eastAsia" w:ascii="方正楷体_GBK" w:hAnsi="方正楷体_GBK" w:cs="方正楷体_GBK" w:eastAsiaTheme="minorEastAsia"/>
          <w:b/>
          <w:color w:val="000000"/>
          <w:sz w:val="28"/>
          <w:lang w:eastAsia="zh-CN"/>
        </w:rPr>
      </w:pPr>
    </w:p>
    <w:p>
      <w:pPr>
        <w:jc w:val="center"/>
        <w:rPr>
          <w:rFonts w:hint="eastAsia" w:ascii="方正楷体_GBK" w:hAnsi="方正楷体_GBK" w:cs="方正楷体_GBK" w:eastAsiaTheme="minorEastAsia"/>
          <w:b/>
          <w:color w:val="000000"/>
          <w:sz w:val="28"/>
          <w:lang w:eastAsia="zh-CN"/>
        </w:rPr>
      </w:pPr>
    </w:p>
    <w:p>
      <w:pPr>
        <w:jc w:val="center"/>
        <w:rPr>
          <w:rFonts w:hint="eastAsia" w:ascii="方正楷体_GBK" w:hAnsi="方正楷体_GBK" w:cs="方正楷体_GBK" w:eastAsiaTheme="minorEastAsia"/>
          <w:b/>
          <w:color w:val="000000"/>
          <w:sz w:val="28"/>
          <w:lang w:eastAsia="zh-CN"/>
        </w:rPr>
      </w:pPr>
    </w:p>
    <w:p>
      <w:pPr>
        <w:jc w:val="center"/>
        <w:rPr>
          <w:rFonts w:hint="eastAsia" w:ascii="方正楷体_GBK" w:hAnsi="方正楷体_GBK" w:cs="方正楷体_GBK" w:eastAsiaTheme="minorEastAsia"/>
          <w:b/>
          <w:color w:val="000000"/>
          <w:sz w:val="28"/>
          <w:lang w:eastAsia="zh-CN"/>
        </w:rPr>
      </w:pPr>
    </w:p>
    <w:p>
      <w:pPr>
        <w:jc w:val="center"/>
        <w:rPr>
          <w:rFonts w:hint="eastAsia" w:ascii="方正楷体_GBK" w:hAnsi="方正楷体_GBK" w:cs="方正楷体_GBK" w:eastAsiaTheme="minorEastAsia"/>
          <w:b/>
          <w:color w:val="000000"/>
          <w:sz w:val="28"/>
          <w:lang w:eastAsia="zh-CN"/>
        </w:rPr>
      </w:pPr>
    </w:p>
    <w:p>
      <w:pPr>
        <w:jc w:val="center"/>
        <w:rPr>
          <w:rFonts w:hint="eastAsia" w:ascii="方正楷体_GBK" w:hAnsi="方正楷体_GBK" w:cs="方正楷体_GBK" w:eastAsiaTheme="minorEastAsia"/>
          <w:b/>
          <w:color w:val="000000"/>
          <w:sz w:val="28"/>
          <w:lang w:eastAsia="zh-CN"/>
        </w:rPr>
      </w:pPr>
    </w:p>
    <w:p>
      <w:pPr>
        <w:jc w:val="center"/>
        <w:rPr>
          <w:rFonts w:hint="eastAsia" w:ascii="方正楷体_GBK" w:hAnsi="方正楷体_GBK" w:cs="方正楷体_GBK" w:eastAsiaTheme="minorEastAsia"/>
          <w:b/>
          <w:color w:val="000000"/>
          <w:sz w:val="28"/>
          <w:lang w:eastAsia="zh-CN"/>
        </w:rPr>
      </w:pPr>
    </w:p>
    <w:p>
      <w:pPr>
        <w:jc w:val="center"/>
        <w:rPr>
          <w:rFonts w:hint="eastAsia" w:ascii="方正楷体_GBK" w:hAnsi="方正楷体_GBK" w:cs="方正楷体_GBK" w:eastAsiaTheme="minorEastAsia"/>
          <w:b/>
          <w:color w:val="000000"/>
          <w:sz w:val="28"/>
          <w:lang w:eastAsia="zh-CN"/>
        </w:rPr>
      </w:pPr>
    </w:p>
    <w:p>
      <w:pPr>
        <w:jc w:val="center"/>
        <w:rPr>
          <w:rFonts w:hint="eastAsia" w:ascii="方正楷体_GBK" w:hAnsi="方正楷体_GBK" w:cs="方正楷体_GBK" w:eastAsiaTheme="minorEastAsia"/>
          <w:b/>
          <w:color w:val="000000"/>
          <w:sz w:val="28"/>
          <w:lang w:eastAsia="zh-CN"/>
        </w:rPr>
      </w:pPr>
    </w:p>
    <w:p>
      <w:pPr>
        <w:jc w:val="center"/>
        <w:rPr>
          <w:rFonts w:hint="eastAsia" w:ascii="方正楷体_GBK" w:hAnsi="方正楷体_GBK" w:cs="方正楷体_GBK" w:eastAsiaTheme="minorEastAsia"/>
          <w:b/>
          <w:color w:val="000000"/>
          <w:sz w:val="28"/>
          <w:lang w:eastAsia="zh-CN"/>
        </w:rPr>
      </w:pPr>
      <w:r>
        <w:rPr>
          <w:rFonts w:ascii="方正楷体_GBK" w:hAnsi="方正楷体_GBK" w:eastAsia="方正楷体_GBK" w:cs="方正楷体_GBK"/>
          <w:b/>
          <w:color w:val="000000"/>
          <w:sz w:val="28"/>
        </w:rPr>
        <w:t>部门预算信息公开情况说明</w:t>
      </w:r>
    </w:p>
    <w:p>
      <w:pPr>
        <w:jc w:val="center"/>
        <w:rPr>
          <w:rFonts w:eastAsiaTheme="minorEastAsia"/>
          <w:lang w:eastAsia="zh-CN"/>
        </w:rPr>
      </w:pPr>
    </w:p>
    <w:p>
      <w:pPr>
        <w:pStyle w:val="3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3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22</w:t>
      </w:r>
      <w:r>
        <w:fldChar w:fldCharType="end"/>
      </w:r>
      <w:r>
        <w:fldChar w:fldCharType="end"/>
      </w:r>
    </w:p>
    <w:p>
      <w:pPr>
        <w:pStyle w:val="3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22</w:t>
      </w:r>
      <w:r>
        <w:fldChar w:fldCharType="end"/>
      </w:r>
      <w:r>
        <w:fldChar w:fldCharType="end"/>
      </w:r>
    </w:p>
    <w:p>
      <w:pPr>
        <w:pStyle w:val="3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23</w:t>
      </w:r>
      <w:r>
        <w:fldChar w:fldCharType="end"/>
      </w:r>
      <w:r>
        <w:fldChar w:fldCharType="end"/>
      </w:r>
    </w:p>
    <w:p>
      <w:pPr>
        <w:pStyle w:val="3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23</w:t>
      </w:r>
      <w:r>
        <w:fldChar w:fldCharType="end"/>
      </w:r>
      <w:r>
        <w:fldChar w:fldCharType="end"/>
      </w:r>
    </w:p>
    <w:p>
      <w:r>
        <w:fldChar w:fldCharType="end"/>
      </w:r>
    </w:p>
    <w:p>
      <w:pPr>
        <w:jc w:val="center"/>
      </w:pPr>
    </w:p>
    <w:p>
      <w:pPr>
        <w:jc w:val="center"/>
      </w:pPr>
      <w:r>
        <w:rPr>
          <w:rFonts w:ascii="方正小标宋_GBK" w:hAnsi="方正小标宋_GBK" w:eastAsia="方正小标宋_GBK" w:cs="方正小标宋_GBK"/>
          <w:color w:val="000000"/>
          <w:sz w:val="44"/>
        </w:rPr>
        <w:t xml:space="preserve"> </w:t>
      </w:r>
    </w:p>
    <w:p>
      <w:pPr>
        <w:jc w:val="center"/>
        <w:outlineLvl w:val="1"/>
        <w:rPr>
          <w:rFonts w:hint="eastAsia" w:ascii="方正小标宋_GBK" w:hAnsi="方正小标宋_GBK" w:cs="方正小标宋_GBK" w:eastAsiaTheme="minorEastAsia"/>
          <w:color w:val="000000"/>
          <w:sz w:val="72"/>
          <w:lang w:eastAsia="zh-CN"/>
        </w:rPr>
      </w:pPr>
      <w:bookmarkStart w:id="0" w:name="_Toc_2_2_0000000001"/>
    </w:p>
    <w:p>
      <w:pPr>
        <w:outlineLvl w:val="1"/>
        <w:rPr>
          <w:rFonts w:hint="eastAsia" w:ascii="方正小标宋_GBK" w:hAnsi="方正小标宋_GBK" w:cs="方正小标宋_GBK" w:eastAsiaTheme="minorEastAsia"/>
          <w:color w:val="000000"/>
          <w:sz w:val="32"/>
          <w:szCs w:val="32"/>
          <w:lang w:eastAsia="zh-CN"/>
        </w:rPr>
      </w:pPr>
    </w:p>
    <w:p>
      <w:pPr>
        <w:outlineLvl w:val="1"/>
        <w:rPr>
          <w:rFonts w:hint="eastAsia" w:ascii="方正小标宋_GBK" w:hAnsi="方正小标宋_GBK" w:cs="方正小标宋_GBK" w:eastAsiaTheme="minorEastAsia"/>
          <w:color w:val="000000"/>
          <w:sz w:val="32"/>
          <w:szCs w:val="32"/>
          <w:lang w:eastAsia="zh-CN"/>
        </w:rPr>
      </w:pPr>
    </w:p>
    <w:p>
      <w:pPr>
        <w:outlineLvl w:val="1"/>
        <w:rPr>
          <w:rFonts w:hint="eastAsia" w:ascii="方正小标宋_GBK" w:hAnsi="方正小标宋_GBK" w:cs="方正小标宋_GBK" w:eastAsiaTheme="minorEastAsia"/>
          <w:color w:val="000000"/>
          <w:sz w:val="32"/>
          <w:szCs w:val="32"/>
          <w:lang w:eastAsia="zh-CN"/>
        </w:rPr>
      </w:pPr>
    </w:p>
    <w:p>
      <w:pPr>
        <w:jc w:val="center"/>
        <w:outlineLvl w:val="1"/>
        <w:rPr>
          <w:rFonts w:hint="eastAsia" w:ascii="方正小标宋_GBK" w:hAnsi="方正小标宋_GBK" w:cs="方正小标宋_GBK" w:eastAsiaTheme="minorEastAsia"/>
          <w:color w:val="000000"/>
          <w:sz w:val="28"/>
          <w:szCs w:val="28"/>
          <w:lang w:eastAsia="zh-CN"/>
        </w:rPr>
      </w:pPr>
    </w:p>
    <w:p>
      <w:pPr>
        <w:jc w:val="center"/>
        <w:outlineLvl w:val="1"/>
        <w:rPr>
          <w:rFonts w:hint="eastAsia" w:ascii="方正小标宋_GBK" w:hAnsi="方正小标宋_GBK" w:cs="方正小标宋_GBK" w:eastAsiaTheme="minorEastAsia"/>
          <w:color w:val="000000"/>
          <w:sz w:val="28"/>
          <w:szCs w:val="28"/>
          <w:lang w:eastAsia="zh-CN"/>
        </w:rPr>
      </w:pPr>
    </w:p>
    <w:p>
      <w:pPr>
        <w:jc w:val="center"/>
        <w:outlineLvl w:val="1"/>
        <w:rPr>
          <w:rFonts w:hint="eastAsia" w:ascii="方正小标宋_GBK" w:hAnsi="方正小标宋_GBK" w:cs="方正小标宋_GBK" w:eastAsiaTheme="minorEastAsia"/>
          <w:color w:val="000000"/>
          <w:sz w:val="28"/>
          <w:szCs w:val="28"/>
          <w:lang w:eastAsia="zh-CN"/>
        </w:rPr>
      </w:pPr>
    </w:p>
    <w:p>
      <w:pPr>
        <w:jc w:val="center"/>
        <w:outlineLvl w:val="1"/>
      </w:pPr>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542灵寿县信访局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308.04</w:t>
            </w:r>
          </w:p>
        </w:tc>
        <w:tc>
          <w:tcPr>
            <w:tcW w:w="4535" w:type="dxa"/>
            <w:vAlign w:val="center"/>
          </w:tcPr>
          <w:p>
            <w:pPr>
              <w:pStyle w:val="12"/>
            </w:pPr>
            <w:r>
              <w:t>一、一般公共服务支出</w:t>
            </w:r>
          </w:p>
        </w:tc>
        <w:tc>
          <w:tcPr>
            <w:tcW w:w="2126" w:type="dxa"/>
            <w:vAlign w:val="center"/>
          </w:tcPr>
          <w:p>
            <w:pPr>
              <w:pStyle w:val="11"/>
            </w:pPr>
            <w:r>
              <w:t>275.57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308.04</w:t>
            </w:r>
          </w:p>
        </w:tc>
        <w:tc>
          <w:tcPr>
            <w:tcW w:w="4535" w:type="dxa"/>
            <w:vAlign w:val="center"/>
          </w:tcPr>
          <w:p>
            <w:pPr>
              <w:pStyle w:val="14"/>
            </w:pPr>
            <w:r>
              <w:t>本年支出合计</w:t>
            </w:r>
          </w:p>
        </w:tc>
        <w:tc>
          <w:tcPr>
            <w:tcW w:w="2126" w:type="dxa"/>
            <w:vAlign w:val="center"/>
          </w:tcPr>
          <w:p>
            <w:pPr>
              <w:pStyle w:val="15"/>
            </w:pPr>
            <w:r>
              <w:t>308.04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308.04</w:t>
            </w:r>
          </w:p>
        </w:tc>
        <w:tc>
          <w:tcPr>
            <w:tcW w:w="4535" w:type="dxa"/>
            <w:vAlign w:val="center"/>
          </w:tcPr>
          <w:p>
            <w:pPr>
              <w:pStyle w:val="14"/>
            </w:pPr>
            <w:r>
              <w:t>支出总计</w:t>
            </w:r>
          </w:p>
        </w:tc>
        <w:tc>
          <w:tcPr>
            <w:tcW w:w="2126" w:type="dxa"/>
            <w:vAlign w:val="center"/>
          </w:tcPr>
          <w:p>
            <w:pPr>
              <w:pStyle w:val="15"/>
            </w:pPr>
            <w:r>
              <w:t>308.04</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542灵寿县信访局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308.04</w:t>
            </w:r>
          </w:p>
        </w:tc>
        <w:tc>
          <w:tcPr>
            <w:tcW w:w="1134" w:type="dxa"/>
            <w:vAlign w:val="center"/>
          </w:tcPr>
          <w:p>
            <w:pPr>
              <w:pStyle w:val="15"/>
            </w:pPr>
            <w:r>
              <w:t>308.04</w:t>
            </w:r>
          </w:p>
        </w:tc>
        <w:tc>
          <w:tcPr>
            <w:tcW w:w="1134" w:type="dxa"/>
            <w:vAlign w:val="center"/>
          </w:tcPr>
          <w:p>
            <w:pPr>
              <w:pStyle w:val="15"/>
            </w:pPr>
            <w:r>
              <w:t>308.04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2010308</w:t>
            </w:r>
          </w:p>
        </w:tc>
        <w:tc>
          <w:tcPr>
            <w:tcW w:w="1559" w:type="dxa"/>
            <w:vAlign w:val="center"/>
          </w:tcPr>
          <w:p>
            <w:pPr>
              <w:pStyle w:val="12"/>
            </w:pPr>
            <w:r>
              <w:t>信访事务</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r>
              <w:t>275.57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21.77</w:t>
            </w:r>
          </w:p>
        </w:tc>
        <w:tc>
          <w:tcPr>
            <w:tcW w:w="1134" w:type="dxa"/>
            <w:vAlign w:val="center"/>
          </w:tcPr>
          <w:p>
            <w:pPr>
              <w:pStyle w:val="11"/>
            </w:pPr>
            <w:r>
              <w:t>21.77</w:t>
            </w:r>
          </w:p>
        </w:tc>
        <w:tc>
          <w:tcPr>
            <w:tcW w:w="1134" w:type="dxa"/>
            <w:vAlign w:val="center"/>
          </w:tcPr>
          <w:p>
            <w:pPr>
              <w:pStyle w:val="11"/>
            </w:pPr>
            <w:r>
              <w:t>21.77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21.77</w:t>
            </w:r>
          </w:p>
        </w:tc>
        <w:tc>
          <w:tcPr>
            <w:tcW w:w="1134" w:type="dxa"/>
            <w:vAlign w:val="center"/>
          </w:tcPr>
          <w:p>
            <w:pPr>
              <w:pStyle w:val="11"/>
            </w:pPr>
            <w:r>
              <w:t>21.77</w:t>
            </w:r>
          </w:p>
        </w:tc>
        <w:tc>
          <w:tcPr>
            <w:tcW w:w="1134" w:type="dxa"/>
            <w:vAlign w:val="center"/>
          </w:tcPr>
          <w:p>
            <w:pPr>
              <w:pStyle w:val="11"/>
            </w:pPr>
            <w:r>
              <w:t>21.77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13.43</w:t>
            </w:r>
          </w:p>
        </w:tc>
        <w:tc>
          <w:tcPr>
            <w:tcW w:w="1134" w:type="dxa"/>
            <w:vAlign w:val="center"/>
          </w:tcPr>
          <w:p>
            <w:pPr>
              <w:pStyle w:val="11"/>
            </w:pPr>
            <w:r>
              <w:t>13.43</w:t>
            </w:r>
          </w:p>
        </w:tc>
        <w:tc>
          <w:tcPr>
            <w:tcW w:w="1134" w:type="dxa"/>
            <w:vAlign w:val="center"/>
          </w:tcPr>
          <w:p>
            <w:pPr>
              <w:pStyle w:val="11"/>
            </w:pPr>
            <w:r>
              <w:t>13.43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8.34</w:t>
            </w:r>
          </w:p>
        </w:tc>
        <w:tc>
          <w:tcPr>
            <w:tcW w:w="1134" w:type="dxa"/>
            <w:vAlign w:val="center"/>
          </w:tcPr>
          <w:p>
            <w:pPr>
              <w:pStyle w:val="11"/>
            </w:pPr>
            <w:r>
              <w:t>8.34</w:t>
            </w:r>
          </w:p>
        </w:tc>
        <w:tc>
          <w:tcPr>
            <w:tcW w:w="1134" w:type="dxa"/>
            <w:vAlign w:val="center"/>
          </w:tcPr>
          <w:p>
            <w:pPr>
              <w:pStyle w:val="11"/>
            </w:pPr>
            <w:r>
              <w:t>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r>
              <w:t>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r>
              <w:t>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542灵寿县信访局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308.04</w:t>
            </w:r>
          </w:p>
        </w:tc>
        <w:tc>
          <w:tcPr>
            <w:tcW w:w="1361" w:type="dxa"/>
            <w:vAlign w:val="center"/>
          </w:tcPr>
          <w:p>
            <w:pPr>
              <w:pStyle w:val="15"/>
            </w:pPr>
            <w:r>
              <w:t>227.12</w:t>
            </w:r>
          </w:p>
        </w:tc>
        <w:tc>
          <w:tcPr>
            <w:tcW w:w="1361" w:type="dxa"/>
            <w:vAlign w:val="center"/>
          </w:tcPr>
          <w:p>
            <w:pPr>
              <w:pStyle w:val="15"/>
            </w:pPr>
            <w:r>
              <w:t>80.92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275.57</w:t>
            </w:r>
          </w:p>
        </w:tc>
        <w:tc>
          <w:tcPr>
            <w:tcW w:w="1361" w:type="dxa"/>
            <w:vAlign w:val="center"/>
          </w:tcPr>
          <w:p>
            <w:pPr>
              <w:pStyle w:val="11"/>
            </w:pPr>
            <w:r>
              <w:t>194.65</w:t>
            </w:r>
          </w:p>
        </w:tc>
        <w:tc>
          <w:tcPr>
            <w:tcW w:w="1361" w:type="dxa"/>
            <w:vAlign w:val="center"/>
          </w:tcPr>
          <w:p>
            <w:pPr>
              <w:pStyle w:val="11"/>
            </w:pPr>
            <w:r>
              <w:t>80.92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275.57</w:t>
            </w:r>
          </w:p>
        </w:tc>
        <w:tc>
          <w:tcPr>
            <w:tcW w:w="1361" w:type="dxa"/>
            <w:vAlign w:val="center"/>
          </w:tcPr>
          <w:p>
            <w:pPr>
              <w:pStyle w:val="11"/>
            </w:pPr>
            <w:r>
              <w:t>194.65</w:t>
            </w:r>
          </w:p>
        </w:tc>
        <w:tc>
          <w:tcPr>
            <w:tcW w:w="1361" w:type="dxa"/>
            <w:vAlign w:val="center"/>
          </w:tcPr>
          <w:p>
            <w:pPr>
              <w:pStyle w:val="11"/>
            </w:pPr>
            <w:r>
              <w:t>80.92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2010308</w:t>
            </w:r>
          </w:p>
        </w:tc>
        <w:tc>
          <w:tcPr>
            <w:tcW w:w="4535" w:type="dxa"/>
            <w:vAlign w:val="center"/>
          </w:tcPr>
          <w:p>
            <w:pPr>
              <w:pStyle w:val="12"/>
            </w:pPr>
            <w:r>
              <w:t>信访事务</w:t>
            </w:r>
          </w:p>
        </w:tc>
        <w:tc>
          <w:tcPr>
            <w:tcW w:w="1361" w:type="dxa"/>
            <w:vAlign w:val="center"/>
          </w:tcPr>
          <w:p>
            <w:pPr>
              <w:pStyle w:val="11"/>
            </w:pPr>
            <w:r>
              <w:t>275.57</w:t>
            </w:r>
          </w:p>
        </w:tc>
        <w:tc>
          <w:tcPr>
            <w:tcW w:w="1361" w:type="dxa"/>
            <w:vAlign w:val="center"/>
          </w:tcPr>
          <w:p>
            <w:pPr>
              <w:pStyle w:val="11"/>
            </w:pPr>
            <w:r>
              <w:t>194.65</w:t>
            </w:r>
          </w:p>
        </w:tc>
        <w:tc>
          <w:tcPr>
            <w:tcW w:w="1361" w:type="dxa"/>
            <w:vAlign w:val="center"/>
          </w:tcPr>
          <w:p>
            <w:pPr>
              <w:pStyle w:val="11"/>
            </w:pPr>
            <w:r>
              <w:t>80.92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21.77</w:t>
            </w:r>
          </w:p>
        </w:tc>
        <w:tc>
          <w:tcPr>
            <w:tcW w:w="1361" w:type="dxa"/>
            <w:vAlign w:val="center"/>
          </w:tcPr>
          <w:p>
            <w:pPr>
              <w:pStyle w:val="11"/>
            </w:pPr>
            <w:r>
              <w:t>21.77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21.77</w:t>
            </w:r>
          </w:p>
        </w:tc>
        <w:tc>
          <w:tcPr>
            <w:tcW w:w="1361" w:type="dxa"/>
            <w:vAlign w:val="center"/>
          </w:tcPr>
          <w:p>
            <w:pPr>
              <w:pStyle w:val="11"/>
            </w:pPr>
            <w:r>
              <w:t>21.77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13.43</w:t>
            </w:r>
          </w:p>
        </w:tc>
        <w:tc>
          <w:tcPr>
            <w:tcW w:w="1361" w:type="dxa"/>
            <w:vAlign w:val="center"/>
          </w:tcPr>
          <w:p>
            <w:pPr>
              <w:pStyle w:val="11"/>
            </w:pPr>
            <w:r>
              <w:t>13.43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8.34</w:t>
            </w:r>
          </w:p>
        </w:tc>
        <w:tc>
          <w:tcPr>
            <w:tcW w:w="1361" w:type="dxa"/>
            <w:vAlign w:val="center"/>
          </w:tcPr>
          <w:p>
            <w:pPr>
              <w:pStyle w:val="11"/>
            </w:pPr>
            <w:r>
              <w:t>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4.40</w:t>
            </w:r>
          </w:p>
        </w:tc>
        <w:tc>
          <w:tcPr>
            <w:tcW w:w="1361" w:type="dxa"/>
            <w:vAlign w:val="center"/>
          </w:tcPr>
          <w:p>
            <w:pPr>
              <w:pStyle w:val="11"/>
            </w:pPr>
            <w:r>
              <w:t>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4.40</w:t>
            </w:r>
          </w:p>
        </w:tc>
        <w:tc>
          <w:tcPr>
            <w:tcW w:w="1361" w:type="dxa"/>
            <w:vAlign w:val="center"/>
          </w:tcPr>
          <w:p>
            <w:pPr>
              <w:pStyle w:val="11"/>
            </w:pPr>
            <w:r>
              <w:t>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4.40</w:t>
            </w:r>
          </w:p>
        </w:tc>
        <w:tc>
          <w:tcPr>
            <w:tcW w:w="1361" w:type="dxa"/>
            <w:vAlign w:val="center"/>
          </w:tcPr>
          <w:p>
            <w:pPr>
              <w:pStyle w:val="11"/>
            </w:pPr>
            <w:r>
              <w:t>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6.30</w:t>
            </w:r>
          </w:p>
        </w:tc>
        <w:tc>
          <w:tcPr>
            <w:tcW w:w="1361" w:type="dxa"/>
            <w:vAlign w:val="center"/>
          </w:tcPr>
          <w:p>
            <w:pPr>
              <w:pStyle w:val="11"/>
            </w:pPr>
            <w:r>
              <w:t>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542灵寿县信访局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308.04</w:t>
            </w:r>
          </w:p>
        </w:tc>
        <w:tc>
          <w:tcPr>
            <w:tcW w:w="3402" w:type="dxa"/>
            <w:vAlign w:val="center"/>
          </w:tcPr>
          <w:p>
            <w:pPr>
              <w:pStyle w:val="12"/>
            </w:pPr>
            <w:r>
              <w:t>一、一般公共服务支出</w:t>
            </w:r>
          </w:p>
        </w:tc>
        <w:tc>
          <w:tcPr>
            <w:tcW w:w="1474" w:type="dxa"/>
            <w:vAlign w:val="center"/>
          </w:tcPr>
          <w:p>
            <w:pPr>
              <w:pStyle w:val="11"/>
            </w:pPr>
            <w:r>
              <w:t>275.57</w:t>
            </w:r>
          </w:p>
        </w:tc>
        <w:tc>
          <w:tcPr>
            <w:tcW w:w="1474" w:type="dxa"/>
            <w:vAlign w:val="center"/>
          </w:tcPr>
          <w:p>
            <w:pPr>
              <w:pStyle w:val="11"/>
            </w:pPr>
            <w:r>
              <w:t>275.57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21.77</w:t>
            </w:r>
          </w:p>
        </w:tc>
        <w:tc>
          <w:tcPr>
            <w:tcW w:w="1474" w:type="dxa"/>
            <w:vAlign w:val="center"/>
          </w:tcPr>
          <w:p>
            <w:pPr>
              <w:pStyle w:val="11"/>
            </w:pPr>
            <w:r>
              <w:t>21.77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4.40</w:t>
            </w:r>
          </w:p>
        </w:tc>
        <w:tc>
          <w:tcPr>
            <w:tcW w:w="1474" w:type="dxa"/>
            <w:vAlign w:val="center"/>
          </w:tcPr>
          <w:p>
            <w:pPr>
              <w:pStyle w:val="11"/>
            </w:pPr>
            <w:r>
              <w:t>4.40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6.30</w:t>
            </w:r>
          </w:p>
        </w:tc>
        <w:tc>
          <w:tcPr>
            <w:tcW w:w="1474" w:type="dxa"/>
            <w:vAlign w:val="center"/>
          </w:tcPr>
          <w:p>
            <w:pPr>
              <w:pStyle w:val="11"/>
            </w:pPr>
            <w:r>
              <w:t>6.30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308.04</w:t>
            </w:r>
          </w:p>
        </w:tc>
        <w:tc>
          <w:tcPr>
            <w:tcW w:w="3402" w:type="dxa"/>
            <w:vAlign w:val="center"/>
          </w:tcPr>
          <w:p>
            <w:pPr>
              <w:pStyle w:val="14"/>
            </w:pPr>
            <w:r>
              <w:t>本年支出合计</w:t>
            </w:r>
          </w:p>
        </w:tc>
        <w:tc>
          <w:tcPr>
            <w:tcW w:w="1474" w:type="dxa"/>
            <w:vAlign w:val="center"/>
          </w:tcPr>
          <w:p>
            <w:pPr>
              <w:pStyle w:val="15"/>
            </w:pPr>
            <w:r>
              <w:t>308.04</w:t>
            </w:r>
          </w:p>
        </w:tc>
        <w:tc>
          <w:tcPr>
            <w:tcW w:w="1474" w:type="dxa"/>
            <w:vAlign w:val="center"/>
          </w:tcPr>
          <w:p>
            <w:pPr>
              <w:pStyle w:val="15"/>
            </w:pPr>
            <w:r>
              <w:t>308.04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308.04</w:t>
            </w:r>
          </w:p>
        </w:tc>
        <w:tc>
          <w:tcPr>
            <w:tcW w:w="3402" w:type="dxa"/>
            <w:vAlign w:val="center"/>
          </w:tcPr>
          <w:p>
            <w:pPr>
              <w:pStyle w:val="14"/>
            </w:pPr>
            <w:r>
              <w:t>支出总计</w:t>
            </w:r>
          </w:p>
        </w:tc>
        <w:tc>
          <w:tcPr>
            <w:tcW w:w="1474" w:type="dxa"/>
            <w:vAlign w:val="center"/>
          </w:tcPr>
          <w:p>
            <w:pPr>
              <w:pStyle w:val="15"/>
            </w:pPr>
            <w:r>
              <w:t>308.04</w:t>
            </w:r>
          </w:p>
        </w:tc>
        <w:tc>
          <w:tcPr>
            <w:tcW w:w="1474" w:type="dxa"/>
            <w:vAlign w:val="center"/>
          </w:tcPr>
          <w:p>
            <w:pPr>
              <w:pStyle w:val="15"/>
            </w:pPr>
            <w:r>
              <w:t>308.04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542灵寿县信访局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308.04</w:t>
            </w:r>
          </w:p>
        </w:tc>
        <w:tc>
          <w:tcPr>
            <w:tcW w:w="2551" w:type="dxa"/>
            <w:vAlign w:val="center"/>
          </w:tcPr>
          <w:p>
            <w:pPr>
              <w:pStyle w:val="15"/>
            </w:pPr>
            <w:r>
              <w:t>227.12</w:t>
            </w:r>
          </w:p>
        </w:tc>
        <w:tc>
          <w:tcPr>
            <w:tcW w:w="2551" w:type="dxa"/>
            <w:vAlign w:val="center"/>
          </w:tcPr>
          <w:p>
            <w:pPr>
              <w:pStyle w:val="15"/>
            </w:pPr>
            <w:r>
              <w:t>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275.57</w:t>
            </w:r>
          </w:p>
        </w:tc>
        <w:tc>
          <w:tcPr>
            <w:tcW w:w="2551" w:type="dxa"/>
            <w:vAlign w:val="center"/>
          </w:tcPr>
          <w:p>
            <w:pPr>
              <w:pStyle w:val="11"/>
            </w:pPr>
            <w:r>
              <w:t>194.65</w:t>
            </w:r>
          </w:p>
        </w:tc>
        <w:tc>
          <w:tcPr>
            <w:tcW w:w="2551" w:type="dxa"/>
            <w:vAlign w:val="center"/>
          </w:tcPr>
          <w:p>
            <w:pPr>
              <w:pStyle w:val="11"/>
            </w:pPr>
            <w:r>
              <w:t>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275.57</w:t>
            </w:r>
          </w:p>
        </w:tc>
        <w:tc>
          <w:tcPr>
            <w:tcW w:w="2551" w:type="dxa"/>
            <w:vAlign w:val="center"/>
          </w:tcPr>
          <w:p>
            <w:pPr>
              <w:pStyle w:val="11"/>
            </w:pPr>
            <w:r>
              <w:t>194.65</w:t>
            </w:r>
          </w:p>
        </w:tc>
        <w:tc>
          <w:tcPr>
            <w:tcW w:w="2551" w:type="dxa"/>
            <w:vAlign w:val="center"/>
          </w:tcPr>
          <w:p>
            <w:pPr>
              <w:pStyle w:val="11"/>
            </w:pPr>
            <w:r>
              <w:t>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2010308</w:t>
            </w:r>
          </w:p>
        </w:tc>
        <w:tc>
          <w:tcPr>
            <w:tcW w:w="4535" w:type="dxa"/>
            <w:vAlign w:val="center"/>
          </w:tcPr>
          <w:p>
            <w:pPr>
              <w:pStyle w:val="12"/>
            </w:pPr>
            <w:r>
              <w:t>信访事务</w:t>
            </w:r>
          </w:p>
        </w:tc>
        <w:tc>
          <w:tcPr>
            <w:tcW w:w="2551" w:type="dxa"/>
            <w:vAlign w:val="center"/>
          </w:tcPr>
          <w:p>
            <w:pPr>
              <w:pStyle w:val="11"/>
            </w:pPr>
            <w:r>
              <w:t>275.57</w:t>
            </w:r>
          </w:p>
        </w:tc>
        <w:tc>
          <w:tcPr>
            <w:tcW w:w="2551" w:type="dxa"/>
            <w:vAlign w:val="center"/>
          </w:tcPr>
          <w:p>
            <w:pPr>
              <w:pStyle w:val="11"/>
            </w:pPr>
            <w:r>
              <w:t>194.65</w:t>
            </w:r>
          </w:p>
        </w:tc>
        <w:tc>
          <w:tcPr>
            <w:tcW w:w="2551" w:type="dxa"/>
            <w:vAlign w:val="center"/>
          </w:tcPr>
          <w:p>
            <w:pPr>
              <w:pStyle w:val="11"/>
            </w:pPr>
            <w:r>
              <w:t>80.92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21.77</w:t>
            </w:r>
          </w:p>
        </w:tc>
        <w:tc>
          <w:tcPr>
            <w:tcW w:w="2551" w:type="dxa"/>
            <w:vAlign w:val="center"/>
          </w:tcPr>
          <w:p>
            <w:pPr>
              <w:pStyle w:val="11"/>
            </w:pPr>
            <w:r>
              <w:t>21.77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21.77</w:t>
            </w:r>
          </w:p>
        </w:tc>
        <w:tc>
          <w:tcPr>
            <w:tcW w:w="2551" w:type="dxa"/>
            <w:vAlign w:val="center"/>
          </w:tcPr>
          <w:p>
            <w:pPr>
              <w:pStyle w:val="11"/>
            </w:pPr>
            <w:r>
              <w:t>21.77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13.43</w:t>
            </w:r>
          </w:p>
        </w:tc>
        <w:tc>
          <w:tcPr>
            <w:tcW w:w="2551" w:type="dxa"/>
            <w:vAlign w:val="center"/>
          </w:tcPr>
          <w:p>
            <w:pPr>
              <w:pStyle w:val="11"/>
            </w:pPr>
            <w:r>
              <w:t>13.43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8.34</w:t>
            </w:r>
          </w:p>
        </w:tc>
        <w:tc>
          <w:tcPr>
            <w:tcW w:w="2551" w:type="dxa"/>
            <w:vAlign w:val="center"/>
          </w:tcPr>
          <w:p>
            <w:pPr>
              <w:pStyle w:val="11"/>
            </w:pPr>
            <w:r>
              <w:t>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542灵寿县信访局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227.12</w:t>
            </w:r>
          </w:p>
        </w:tc>
        <w:tc>
          <w:tcPr>
            <w:tcW w:w="2551" w:type="dxa"/>
            <w:vAlign w:val="center"/>
          </w:tcPr>
          <w:p>
            <w:pPr>
              <w:pStyle w:val="15"/>
            </w:pPr>
            <w:r>
              <w:t>210.86</w:t>
            </w:r>
          </w:p>
        </w:tc>
        <w:tc>
          <w:tcPr>
            <w:tcW w:w="2551" w:type="dxa"/>
            <w:vAlign w:val="center"/>
          </w:tcPr>
          <w:p>
            <w:pPr>
              <w:pStyle w:val="15"/>
            </w:pPr>
            <w:r>
              <w:t>16.26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197.33</w:t>
            </w:r>
          </w:p>
        </w:tc>
        <w:tc>
          <w:tcPr>
            <w:tcW w:w="2551" w:type="dxa"/>
            <w:vAlign w:val="center"/>
          </w:tcPr>
          <w:p>
            <w:pPr>
              <w:pStyle w:val="11"/>
            </w:pPr>
            <w:r>
              <w:t>197.33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35.82</w:t>
            </w:r>
          </w:p>
        </w:tc>
        <w:tc>
          <w:tcPr>
            <w:tcW w:w="2551" w:type="dxa"/>
            <w:vAlign w:val="center"/>
          </w:tcPr>
          <w:p>
            <w:pPr>
              <w:pStyle w:val="11"/>
            </w:pPr>
            <w:r>
              <w:t>35.82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13.97</w:t>
            </w:r>
          </w:p>
        </w:tc>
        <w:tc>
          <w:tcPr>
            <w:tcW w:w="2551" w:type="dxa"/>
            <w:vAlign w:val="center"/>
          </w:tcPr>
          <w:p>
            <w:pPr>
              <w:pStyle w:val="11"/>
            </w:pPr>
            <w:r>
              <w:t>13.97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18.28</w:t>
            </w:r>
          </w:p>
        </w:tc>
        <w:tc>
          <w:tcPr>
            <w:tcW w:w="2551" w:type="dxa"/>
            <w:vAlign w:val="center"/>
          </w:tcPr>
          <w:p>
            <w:pPr>
              <w:pStyle w:val="11"/>
            </w:pPr>
            <w:r>
              <w:t>18.28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3.03</w:t>
            </w:r>
          </w:p>
        </w:tc>
        <w:tc>
          <w:tcPr>
            <w:tcW w:w="2551" w:type="dxa"/>
            <w:vAlign w:val="center"/>
          </w:tcPr>
          <w:p>
            <w:pPr>
              <w:pStyle w:val="11"/>
            </w:pPr>
            <w:r>
              <w:t>3.03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8.34</w:t>
            </w:r>
          </w:p>
        </w:tc>
        <w:tc>
          <w:tcPr>
            <w:tcW w:w="2551" w:type="dxa"/>
            <w:vAlign w:val="center"/>
          </w:tcPr>
          <w:p>
            <w:pPr>
              <w:pStyle w:val="11"/>
            </w:pPr>
            <w:r>
              <w:t>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4.40</w:t>
            </w:r>
          </w:p>
        </w:tc>
        <w:tc>
          <w:tcPr>
            <w:tcW w:w="2551" w:type="dxa"/>
            <w:vAlign w:val="center"/>
          </w:tcPr>
          <w:p>
            <w:pPr>
              <w:pStyle w:val="11"/>
            </w:pPr>
            <w:r>
              <w:t>4.40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1.08</w:t>
            </w:r>
          </w:p>
        </w:tc>
        <w:tc>
          <w:tcPr>
            <w:tcW w:w="2551" w:type="dxa"/>
            <w:vAlign w:val="center"/>
          </w:tcPr>
          <w:p>
            <w:pPr>
              <w:pStyle w:val="11"/>
            </w:pPr>
            <w:r>
              <w:t>1.08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106.11</w:t>
            </w:r>
          </w:p>
        </w:tc>
        <w:tc>
          <w:tcPr>
            <w:tcW w:w="2551" w:type="dxa"/>
            <w:vAlign w:val="center"/>
          </w:tcPr>
          <w:p>
            <w:pPr>
              <w:pStyle w:val="11"/>
            </w:pPr>
            <w:r>
              <w:t>106.11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16.26</w:t>
            </w:r>
          </w:p>
        </w:tc>
        <w:tc>
          <w:tcPr>
            <w:tcW w:w="2551" w:type="dxa"/>
            <w:vAlign w:val="center"/>
          </w:tcPr>
          <w:p>
            <w:pPr>
              <w:pStyle w:val="11"/>
            </w:pPr>
          </w:p>
        </w:tc>
        <w:tc>
          <w:tcPr>
            <w:tcW w:w="2551" w:type="dxa"/>
            <w:vAlign w:val="center"/>
          </w:tcPr>
          <w:p>
            <w:pPr>
              <w:pStyle w:val="11"/>
            </w:pPr>
            <w:r>
              <w:t>16.26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5.58</w:t>
            </w:r>
          </w:p>
        </w:tc>
        <w:tc>
          <w:tcPr>
            <w:tcW w:w="2551" w:type="dxa"/>
            <w:vAlign w:val="center"/>
          </w:tcPr>
          <w:p>
            <w:pPr>
              <w:pStyle w:val="11"/>
            </w:pPr>
          </w:p>
        </w:tc>
        <w:tc>
          <w:tcPr>
            <w:tcW w:w="2551" w:type="dxa"/>
            <w:vAlign w:val="center"/>
          </w:tcPr>
          <w:p>
            <w:pPr>
              <w:pStyle w:val="11"/>
            </w:pPr>
            <w: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0.88</w:t>
            </w:r>
          </w:p>
        </w:tc>
        <w:tc>
          <w:tcPr>
            <w:tcW w:w="2551" w:type="dxa"/>
            <w:vAlign w:val="center"/>
          </w:tcPr>
          <w:p>
            <w:pPr>
              <w:pStyle w:val="11"/>
            </w:pPr>
          </w:p>
        </w:tc>
        <w:tc>
          <w:tcPr>
            <w:tcW w:w="2551"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0.88</w:t>
            </w:r>
          </w:p>
        </w:tc>
        <w:tc>
          <w:tcPr>
            <w:tcW w:w="2551" w:type="dxa"/>
            <w:vAlign w:val="center"/>
          </w:tcPr>
          <w:p>
            <w:pPr>
              <w:pStyle w:val="11"/>
            </w:pPr>
          </w:p>
        </w:tc>
        <w:tc>
          <w:tcPr>
            <w:tcW w:w="2551" w:type="dxa"/>
            <w:vAlign w:val="center"/>
          </w:tcPr>
          <w:p>
            <w:pPr>
              <w:pStyle w:val="11"/>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2.78</w:t>
            </w:r>
          </w:p>
        </w:tc>
        <w:tc>
          <w:tcPr>
            <w:tcW w:w="2551" w:type="dxa"/>
            <w:vAlign w:val="center"/>
          </w:tcPr>
          <w:p>
            <w:pPr>
              <w:pStyle w:val="11"/>
            </w:pPr>
          </w:p>
        </w:tc>
        <w:tc>
          <w:tcPr>
            <w:tcW w:w="2551" w:type="dxa"/>
            <w:vAlign w:val="center"/>
          </w:tcPr>
          <w:p>
            <w:pPr>
              <w:pStyle w:val="11"/>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0.79</w:t>
            </w:r>
          </w:p>
        </w:tc>
        <w:tc>
          <w:tcPr>
            <w:tcW w:w="2551" w:type="dxa"/>
            <w:vAlign w:val="center"/>
          </w:tcPr>
          <w:p>
            <w:pPr>
              <w:pStyle w:val="11"/>
            </w:pPr>
          </w:p>
        </w:tc>
        <w:tc>
          <w:tcPr>
            <w:tcW w:w="2551" w:type="dxa"/>
            <w:vAlign w:val="center"/>
          </w:tcPr>
          <w:p>
            <w:pPr>
              <w:pStyle w:val="11"/>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0.90</w:t>
            </w:r>
          </w:p>
        </w:tc>
        <w:tc>
          <w:tcPr>
            <w:tcW w:w="2551" w:type="dxa"/>
            <w:vAlign w:val="center"/>
          </w:tcPr>
          <w:p>
            <w:pPr>
              <w:pStyle w:val="11"/>
            </w:pPr>
          </w:p>
        </w:tc>
        <w:tc>
          <w:tcPr>
            <w:tcW w:w="2551" w:type="dxa"/>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4.02</w:t>
            </w:r>
          </w:p>
        </w:tc>
        <w:tc>
          <w:tcPr>
            <w:tcW w:w="2551" w:type="dxa"/>
            <w:vAlign w:val="center"/>
          </w:tcPr>
          <w:p>
            <w:pPr>
              <w:pStyle w:val="11"/>
            </w:pPr>
          </w:p>
        </w:tc>
        <w:tc>
          <w:tcPr>
            <w:tcW w:w="2551" w:type="dxa"/>
            <w:vAlign w:val="center"/>
          </w:tcPr>
          <w:p>
            <w:pPr>
              <w:pStyle w:val="11"/>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0.43</w:t>
            </w:r>
          </w:p>
        </w:tc>
        <w:tc>
          <w:tcPr>
            <w:tcW w:w="2551" w:type="dxa"/>
            <w:vAlign w:val="center"/>
          </w:tcPr>
          <w:p>
            <w:pPr>
              <w:pStyle w:val="11"/>
            </w:pPr>
          </w:p>
        </w:tc>
        <w:tc>
          <w:tcPr>
            <w:tcW w:w="2551"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13.53</w:t>
            </w:r>
          </w:p>
        </w:tc>
        <w:tc>
          <w:tcPr>
            <w:tcW w:w="2551" w:type="dxa"/>
            <w:vAlign w:val="center"/>
          </w:tcPr>
          <w:p>
            <w:pPr>
              <w:pStyle w:val="11"/>
            </w:pPr>
            <w:r>
              <w:t>13.53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1.93</w:t>
            </w:r>
          </w:p>
        </w:tc>
        <w:tc>
          <w:tcPr>
            <w:tcW w:w="2551" w:type="dxa"/>
            <w:vAlign w:val="center"/>
          </w:tcPr>
          <w:p>
            <w:pPr>
              <w:pStyle w:val="11"/>
            </w:pPr>
            <w:r>
              <w:t>1.93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11.50</w:t>
            </w:r>
          </w:p>
        </w:tc>
        <w:tc>
          <w:tcPr>
            <w:tcW w:w="2551" w:type="dxa"/>
            <w:vAlign w:val="center"/>
          </w:tcPr>
          <w:p>
            <w:pPr>
              <w:pStyle w:val="11"/>
            </w:pPr>
            <w:r>
              <w:t>11.50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0.08</w:t>
            </w:r>
          </w:p>
        </w:tc>
        <w:tc>
          <w:tcPr>
            <w:tcW w:w="2551" w:type="dxa"/>
            <w:vAlign w:val="center"/>
          </w:tcPr>
          <w:p>
            <w:pPr>
              <w:pStyle w:val="11"/>
            </w:pPr>
            <w:r>
              <w:t>0.08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542灵寿县信访局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542灵寿县信访局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542灵寿县信访局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灵寿县信访局2022年部门预算信息公开情况说明</w:t>
      </w:r>
    </w:p>
    <w:p>
      <w:pPr>
        <w:jc w:val="center"/>
      </w:pPr>
      <w:r>
        <w:rPr>
          <w:rFonts w:ascii="方正小标宋_GBK" w:hAnsi="方正小标宋_GBK" w:eastAsia="方正小标宋_GBK" w:cs="方正小标宋_GBK"/>
          <w:color w:val="000000"/>
          <w:sz w:val="44"/>
        </w:rPr>
        <w:t>灵寿县信访局2022年部门预算信息公开情况说明</w:t>
      </w:r>
    </w:p>
    <w:p>
      <w:pPr>
        <w:spacing w:line="500" w:lineRule="exact"/>
        <w:ind w:firstLine="560"/>
      </w:pPr>
      <w:r>
        <w:rPr>
          <w:rFonts w:eastAsia="方正仿宋_GBK"/>
          <w:color w:val="000000"/>
          <w:sz w:val="28"/>
        </w:rPr>
        <w:t>按照</w:t>
      </w:r>
      <w:bookmarkStart w:id="18" w:name="_GoBack"/>
      <w:r>
        <w:rPr>
          <w:rFonts w:eastAsia="方正仿宋_GBK"/>
          <w:color w:val="auto"/>
          <w:sz w:val="28"/>
        </w:rPr>
        <w:t>《</w:t>
      </w:r>
      <w:r>
        <w:rPr>
          <w:rFonts w:hint="eastAsia" w:eastAsia="方正仿宋_GBK"/>
          <w:color w:val="auto"/>
          <w:sz w:val="28"/>
          <w:lang w:eastAsia="zh-CN"/>
        </w:rPr>
        <w:t>中华人民共和国</w:t>
      </w:r>
      <w:r>
        <w:rPr>
          <w:rFonts w:eastAsia="方正仿宋_GBK"/>
          <w:color w:val="auto"/>
          <w:sz w:val="28"/>
        </w:rPr>
        <w:t>预算法》</w:t>
      </w:r>
      <w:bookmarkEnd w:id="18"/>
      <w:r>
        <w:rPr>
          <w:rFonts w:eastAsia="方正仿宋_GBK"/>
          <w:color w:val="000000"/>
          <w:sz w:val="28"/>
        </w:rPr>
        <w:t>、《地方预决算公开操作规程》和《关于进一步推进预算公开工作的实施意见》规定，现将灵寿县信访局2022年部门预算公开如下：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（一）研究提出全县信访工作思路。</w:t>
      </w:r>
    </w:p>
    <w:p>
      <w:pPr>
        <w:pStyle w:val="17"/>
      </w:pPr>
      <w:r>
        <w:t>（二）办理人民群众来信，接待群众来访，受理群众网上投诉，查办信访案件，负责人民群众建议征集工作。</w:t>
      </w:r>
    </w:p>
    <w:p>
      <w:pPr>
        <w:pStyle w:val="17"/>
      </w:pPr>
      <w:r>
        <w:t>（三）调查研究和综合分析全县信访形势及信访工作状况，总结推广各部门信访工作经验，提出改进和加强信访工作的意见和建议。</w:t>
      </w:r>
    </w:p>
    <w:p>
      <w:pPr>
        <w:pStyle w:val="17"/>
      </w:pPr>
      <w:r>
        <w:t>（四）参与组织、协调、指导全县社会治安综合治理和维护社会政治稳定工作，协助保障国家、省、市、县重大政治活动顺利进行，参与处理影响社会政治稳定的突发性、群体性事件。</w:t>
      </w:r>
    </w:p>
    <w:p>
      <w:pPr>
        <w:pStyle w:val="17"/>
      </w:pPr>
      <w:r>
        <w:t>（五）督促检查和指导全县乡（镇）党委、政府和县直部门的信访工作。对乡（镇）党委、政府和县直部门信访工作年度责任目标进行考核，对全县社会治安综合治理和维护社会政治稳定年度责任目标中有关信访工作进行考核。</w:t>
      </w:r>
    </w:p>
    <w:p>
      <w:pPr>
        <w:pStyle w:val="17"/>
      </w:pPr>
      <w:r>
        <w:t>（六）协助国家、省、市信访局处理灵寿县群众进京上访工作，综合协调处理跨地区、跨部门、跨行业的重要信访问题，协助公安机关维护县委、县政府机关正常工作秩序。</w:t>
      </w:r>
    </w:p>
    <w:p>
      <w:pPr>
        <w:pStyle w:val="17"/>
      </w:pPr>
      <w:r>
        <w:t>（七）负责省、市领导包联案件和县领导公开接访及包联案件的组织协调工作。</w:t>
      </w:r>
    </w:p>
    <w:p>
      <w:pPr>
        <w:pStyle w:val="17"/>
      </w:pPr>
      <w:r>
        <w:t>（八）承担灵寿县信访工作联席会议的日常工作，督促落实联席会议决定的事项。</w:t>
      </w:r>
    </w:p>
    <w:p>
      <w:pPr>
        <w:pStyle w:val="17"/>
      </w:pPr>
      <w:r>
        <w:t>（九）完成县委、县政府以及国家、省、市信访局交办的其他任务。</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灵寿县信访局本级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按照预算管理有关规定，目前我省部门预算的编制实行综合预算管理，即全部收入和支出都反映在预算中。灵寿县信访局机关及所属事业单位的收支包含在部门预算中。</w:t>
      </w:r>
    </w:p>
    <w:p>
      <w:pPr>
        <w:pStyle w:val="18"/>
      </w:pPr>
      <w:r>
        <w:t>1、收入说明</w:t>
      </w:r>
    </w:p>
    <w:p>
      <w:pPr>
        <w:pStyle w:val="18"/>
      </w:pPr>
      <w:r>
        <w:t>反映本部门当年全部收入。2022年预算收入308.04万元，其中：一般公共预算收入308.04万元，</w:t>
      </w:r>
      <w:r>
        <w:rPr>
          <w:rFonts w:hint="eastAsia" w:eastAsiaTheme="minorEastAsia"/>
          <w:lang w:eastAsia="zh-CN"/>
        </w:rPr>
        <w:t>政府性</w:t>
      </w:r>
      <w:r>
        <w:t>基金预算收入0万元，国有资本经营预算收入0万元，财政专户核拨收入0万元，单位资金收入0万元，上年结转结余0万元。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收支预算总表支出栏、基本支出表、项目支出表按经济分类和支出功能分类科目编制，反映灵寿县信访局</w:t>
      </w:r>
      <w:r>
        <w:rPr>
          <w:rFonts w:hint="eastAsia" w:eastAsiaTheme="minorEastAsia"/>
          <w:lang w:eastAsia="zh-CN"/>
        </w:rPr>
        <w:t>2022</w:t>
      </w:r>
      <w:r>
        <w:t>年度部门预算中支出预算的总体情况。2022年部门预算支出为308.04万元，其中基本支出227.12万元，包括人员经费210.86万元和日常公用经费16.26万元；项目支出80.92万元，主要是信访工作专项经费70万元和政府购买劳务服务费10.92万元；其他支出0万元。</w:t>
      </w:r>
    </w:p>
    <w:p>
      <w:pPr>
        <w:pStyle w:val="18"/>
        <w:rPr>
          <w:rFonts w:eastAsiaTheme="minorEastAsia"/>
          <w:lang w:eastAsia="zh-CN"/>
        </w:rPr>
      </w:pPr>
    </w:p>
    <w:p>
      <w:pPr>
        <w:pStyle w:val="18"/>
        <w:rPr>
          <w:rFonts w:eastAsiaTheme="minorEastAsia"/>
          <w:lang w:eastAsia="zh-CN"/>
        </w:rPr>
      </w:pPr>
    </w:p>
    <w:p>
      <w:pPr>
        <w:pStyle w:val="18"/>
      </w:pPr>
      <w:r>
        <w:t>3、比上年增减情况</w:t>
      </w:r>
    </w:p>
    <w:p>
      <w:pPr>
        <w:pStyle w:val="18"/>
        <w:rPr>
          <w:rFonts w:eastAsiaTheme="minorEastAsia"/>
          <w:lang w:eastAsia="zh-CN"/>
        </w:rPr>
      </w:pPr>
      <w:r>
        <w:t>2022年部门预算收支安排308.04万元，较2021年增加7.46万元，其中：基本支出减少3.46万元，主要是有人员调动，相应人员经费变动；项目支出增加10.92万元，主要是今年政府购买劳务服务费在项目中列支；其他支出无增减变化。</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2022年，</w:t>
      </w:r>
      <w:r>
        <w:rPr>
          <w:rFonts w:hint="eastAsia" w:eastAsiaTheme="minorEastAsia"/>
          <w:lang w:eastAsia="zh-CN"/>
        </w:rPr>
        <w:t>我</w:t>
      </w:r>
      <w:r>
        <w:t>部门机关运行经费共计安排16.26万元，主要用于保证机关正常运转的办公费、办公用房水电费、办公用房取暖费、工会经费、福利费、其他交通费用、党组织活动经费等支出。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2022年，</w:t>
      </w:r>
      <w:r>
        <w:rPr>
          <w:rFonts w:hint="eastAsia" w:eastAsiaTheme="minorEastAsia"/>
          <w:lang w:eastAsia="zh-CN"/>
        </w:rPr>
        <w:t>我</w:t>
      </w:r>
      <w:r>
        <w:t>部门财政拨款“三公”经费预算安排0万元，其中因公出国（境）费0万元；公务用车购置及运维费0万元（其中：公务用车购置费0万元，公务用车运行维护费0万元)；公务接待费0元；与2021年相比持平,无增减变化。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贯彻落实中央和省委、省政府关于信访工作的决策部署和要求，深入推进信访工作制度改革，深入实施依法处理信访事项“路线图”和信访工作七项机制，及时反映社情民意，努力解决群众合理合法诉求，全力打造“阳光信访”“责任信访”“法治信访”，促进灵寿社会和谐稳定。认真宣传贯彻《信访条例》，依法规范信访秩序，对违反信访工作纪律的国家工作人员提请纪检监察部门进行责任追究。加强乡镇、部门信访工作力度，协调督促乡镇、部门做好信访工作；不断加强对信访干部的业务培训和指导，切实提高信访干部的整体素质。坚持以群众工作统揽信访工作，充分发挥群众工作站室功能优势，切实提高为民服务水平，认真研究工作中出现的新情况、新问题，探索做好新时期、新形势下的信访工作的新思路、新办法，为构建“和谐灵寿”打造良好稳定的社会环境。</w:t>
      </w:r>
    </w:p>
    <w:p>
      <w:pPr>
        <w:spacing w:line="500" w:lineRule="exact"/>
        <w:ind w:firstLine="560"/>
      </w:pPr>
      <w:r>
        <w:rPr>
          <w:rFonts w:eastAsia="方正仿宋_GBK"/>
          <w:color w:val="000000"/>
          <w:sz w:val="28"/>
        </w:rPr>
        <w:t>（二）分项绩效目标</w:t>
      </w:r>
    </w:p>
    <w:p>
      <w:pPr>
        <w:pStyle w:val="22"/>
      </w:pPr>
      <w:r>
        <w:t>1.信访业务办理</w:t>
      </w:r>
    </w:p>
    <w:p>
      <w:pPr>
        <w:pStyle w:val="22"/>
      </w:pPr>
      <w:r>
        <w:t>绩效目标：办理人民群众来信、来访、网上信访；协助上级信访局处理越级上访工作；畅通信访渠道，减少信访案件，维护社会和谐稳定。</w:t>
      </w:r>
      <w:r>
        <w:tab/>
      </w:r>
    </w:p>
    <w:p>
      <w:pPr>
        <w:pStyle w:val="22"/>
      </w:pPr>
      <w:r>
        <w:t>绩效指标：信访事项受理及时率达到80%以上；信访事项按期结案率达到80%以上。</w:t>
      </w:r>
    </w:p>
    <w:p>
      <w:pPr>
        <w:pStyle w:val="22"/>
      </w:pPr>
      <w:r>
        <w:t>2.处置非访、突发性及群体性事件</w:t>
      </w:r>
    </w:p>
    <w:p>
      <w:pPr>
        <w:pStyle w:val="22"/>
      </w:pPr>
      <w:r>
        <w:t>绩效目标：妥善处置非正常访，维护社会大局和谐稳定。</w:t>
      </w:r>
    </w:p>
    <w:p>
      <w:pPr>
        <w:pStyle w:val="22"/>
      </w:pPr>
      <w:r>
        <w:t>绩效指标：信访事项受理及时率达到80%以上；信访事项按期结案率达到80%以上。</w:t>
      </w:r>
    </w:p>
    <w:p>
      <w:pPr>
        <w:pStyle w:val="22"/>
      </w:pPr>
      <w:r>
        <w:t>3.信访事项督查、复查复核、听证</w:t>
      </w:r>
    </w:p>
    <w:p>
      <w:pPr>
        <w:pStyle w:val="22"/>
      </w:pPr>
      <w:r>
        <w:t>绩效目标：推动重要信访事项解决，规范信访事项办理、终结，用好特殊疑难信访问题专项资金。</w:t>
      </w:r>
    </w:p>
    <w:p>
      <w:pPr>
        <w:pStyle w:val="22"/>
      </w:pPr>
      <w:r>
        <w:t>绩效指标：解决特殊信访疑难问题件数达到8件以上；督办信访案件数达到8次以上。</w:t>
      </w:r>
    </w:p>
    <w:p>
      <w:pPr>
        <w:pStyle w:val="22"/>
      </w:pPr>
      <w:r>
        <w:t>4.信访事务管理</w:t>
      </w:r>
    </w:p>
    <w:p>
      <w:pPr>
        <w:pStyle w:val="22"/>
      </w:pPr>
      <w:r>
        <w:t>绩效目标：进一步提高信访干部业务能力；吸收可行建议，改进信访工作；提高信访信息化应用水平。保障机要邮件正常传递和信访群众服务中心正常运转；确保会议正常召开。</w:t>
      </w:r>
    </w:p>
    <w:p>
      <w:pPr>
        <w:pStyle w:val="22"/>
      </w:pPr>
      <w:r>
        <w:t>绩效指标：其他各项综合实务工作完成率达到95%以上。</w:t>
      </w:r>
    </w:p>
    <w:p>
      <w:pPr>
        <w:spacing w:line="500" w:lineRule="exact"/>
        <w:ind w:firstLine="560"/>
      </w:pPr>
      <w:r>
        <w:rPr>
          <w:rFonts w:eastAsia="方正仿宋_GBK"/>
          <w:color w:val="000000"/>
          <w:sz w:val="28"/>
        </w:rPr>
        <w:t>（三）工作保障措施</w:t>
      </w:r>
    </w:p>
    <w:p>
      <w:pPr>
        <w:pStyle w:val="23"/>
      </w:pPr>
      <w:r>
        <w:t>1.强化基础，积极排查化解各种信访问题。认真做好初信、初访工作。高度重视初信初访办理工作，强化初信、初访台账管理办法，实行信访事项首接首办制，做到“事事有着落，件件有回音”，力争在群众第一次来信来访时将问题妥善解决好。开展纵向到底、横向到边，不留死角的矛盾纠纷大排查、大调处工作，切实做到矛盾纠纷底数清、情况明。对排查出来的问题，要按照矛盾纠纷排查调处工作“五个一”（即一个矛盾纠纷、一个调处班子、一个调处责任人、一个调处方案、一个调处期限）的要求，千方百计把问题化解在萌芽状态，解决在基层。多策并举，积极化解疑难信访问题。遵循个案处置的原则，会同相关职能部门切实解决好群众反映的各类问题。</w:t>
      </w:r>
    </w:p>
    <w:p>
      <w:pPr>
        <w:pStyle w:val="23"/>
      </w:pPr>
      <w:r>
        <w:t>2.强化服务意识，促进领导接访下访深入开展。积极开展领导干部接访下访活动，排查难点热点问题，确定下访计划，切实解决信访热点、难点、焦点问题。同时，认真办理上级交办信访件，做到件件有安排，有落实，有回音。努力把各类矛盾纠纷问题化解在本地。</w:t>
      </w:r>
    </w:p>
    <w:p>
      <w:pPr>
        <w:pStyle w:val="23"/>
      </w:pPr>
      <w:r>
        <w:t>3.强化交办督办，推进信访问题的及时解决。加强对领导干部落实信访稳定“一岗双责”情况的督查，强化责任主体的工作责任，实行“一把手”负总责，分管领导具体抓、其他领导“一岗双责”，一级抓一级，一级对一级负责，努力减少和纠正各种推诿扯皮和不负责任的现象。</w:t>
      </w:r>
    </w:p>
    <w:p>
      <w:pPr>
        <w:pStyle w:val="23"/>
      </w:pPr>
      <w:r>
        <w:t>4.强化依法处置，规范信访秩序。规范信访事项办理程序，把好受理、交办、转送、催办、督办和反馈等各个环节，努力提高行政效率，确保信访事项按时按质办结。加强信访事项的复查复核工作。提高复查复核案件的办理质量，进一步增强信访复查复核的权威性与公信力，促进“案结事了”，提高案件息诉率。认真落实稳控工作措施。认真解决信访事项，做好上访群众的思想疏导和法制教育工作。</w:t>
      </w:r>
    </w:p>
    <w:p>
      <w:pPr>
        <w:pStyle w:val="23"/>
      </w:pPr>
      <w:r>
        <w:t>5.强化调查研究，积极提出化解矛盾纠纷的政策性意见。关注苗头性、倾向性信访问题。加强典型个案研究，从个别中发现共性问题。从政策层面、体制、机制及制度建设方面提出有针对性的对策建议，推动问题的普遍解决。及时了解反映社情民意，及时反馈政策执行情况，科学研判和准确把握信访稳定形势，及时提出处理意见和建议，努力从源头上预防和减少信访特别是重复上访和集体访。</w:t>
      </w:r>
    </w:p>
    <w:p>
      <w:pPr>
        <w:pStyle w:val="23"/>
      </w:pPr>
    </w:p>
    <w:p>
      <w:pPr>
        <w:ind w:firstLine="640"/>
        <w:rPr>
          <w:rFonts w:hint="eastAsia" w:ascii="方正楷体_GBK" w:hAnsi="方正楷体_GBK" w:cs="方正楷体_GBK" w:eastAsiaTheme="minorEastAsia"/>
          <w:b/>
          <w:color w:val="000000"/>
          <w:sz w:val="32"/>
          <w:lang w:eastAsia="zh-CN"/>
        </w:rPr>
      </w:pPr>
      <w:r>
        <w:rPr>
          <w:rFonts w:ascii="方正楷体_GBK" w:hAnsi="方正楷体_GBK" w:eastAsia="方正楷体_GBK" w:cs="方正楷体_GBK"/>
          <w:b/>
          <w:color w:val="000000"/>
          <w:sz w:val="32"/>
        </w:rPr>
        <w:t>第二部分  专项资金绩效目标</w:t>
      </w:r>
    </w:p>
    <w:p>
      <w:pPr>
        <w:ind w:firstLine="640"/>
        <w:rPr>
          <w:rFonts w:hint="eastAsia" w:ascii="仿宋" w:hAnsi="仿宋" w:eastAsia="仿宋"/>
          <w:sz w:val="32"/>
          <w:szCs w:val="32"/>
          <w:lang w:eastAsia="zh-CN"/>
        </w:rPr>
      </w:pPr>
      <w:r>
        <w:rPr>
          <w:rFonts w:hint="eastAsia" w:ascii="仿宋" w:hAnsi="仿宋" w:eastAsia="仿宋"/>
          <w:sz w:val="32"/>
          <w:szCs w:val="32"/>
          <w:lang w:eastAsia="zh-CN"/>
        </w:rPr>
        <w:t>我部门2022年无专项资金。</w:t>
      </w:r>
    </w:p>
    <w:p>
      <w:pPr>
        <w:pStyle w:val="24"/>
        <w:ind w:firstLine="640"/>
      </w:pPr>
      <w:r>
        <w:rPr>
          <w:rFonts w:ascii="方正楷体_GBK" w:hAnsi="方正楷体_GBK" w:eastAsia="方正楷体_GBK" w:cs="方正楷体_GBK"/>
          <w:b/>
          <w:color w:val="000000"/>
          <w:sz w:val="32"/>
        </w:rPr>
        <w:t>第三部分  预算项目绩效目标</w:t>
      </w:r>
    </w:p>
    <w:p>
      <w:pPr>
        <w:pStyle w:val="24"/>
        <w:ind w:firstLine="560"/>
      </w:pPr>
      <w:r>
        <w:rPr>
          <w:rFonts w:ascii="方正仿宋_GBK" w:hAnsi="方正仿宋_GBK" w:eastAsia="方正仿宋_GBK" w:cs="方正仿宋_GBK"/>
          <w:b/>
          <w:color w:val="000000"/>
          <w:sz w:val="28"/>
        </w:rPr>
        <w:t>1、信访工作专项经费绩效目标表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1.涉密。</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经济效益指标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生态效益指标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可持续影响指标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bl>
    <w:p>
      <w:pPr>
        <w:pStyle w:val="24"/>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rPr>
          <w:rFonts w:hint="eastAsia" w:ascii="方正仿宋_GBK" w:hAnsi="方正仿宋_GBK" w:cs="方正仿宋_GBK" w:eastAsiaTheme="minorEastAsia"/>
          <w:b/>
          <w:color w:val="000000"/>
          <w:sz w:val="28"/>
          <w:lang w:eastAsia="zh-CN"/>
        </w:rPr>
      </w:pPr>
    </w:p>
    <w:p>
      <w:pPr>
        <w:pStyle w:val="24"/>
        <w:ind w:firstLine="560"/>
      </w:pPr>
      <w:r>
        <w:rPr>
          <w:rFonts w:ascii="方正仿宋_GBK" w:hAnsi="方正仿宋_GBK" w:eastAsia="方正仿宋_GBK" w:cs="方正仿宋_GBK"/>
          <w:b/>
          <w:color w:val="000000"/>
          <w:sz w:val="28"/>
        </w:rPr>
        <w:t>2、政府购买劳务服务费绩效目标表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1.购买服务人数3人，每月20日前足额及时发放工资。</w:t>
            </w:r>
          </w:p>
          <w:p>
            <w:pPr>
              <w:pStyle w:val="26"/>
            </w:pPr>
            <w:r>
              <w:t>2.保障信访接待服务中心工作正常运转，确保来访群众及工作人员的人身安全。</w:t>
            </w:r>
          </w:p>
        </w:tc>
      </w:tr>
    </w:tbl>
    <w:p>
      <w:pPr>
        <w:pStyle w:val="24"/>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工作完成率</w:t>
            </w:r>
          </w:p>
        </w:tc>
        <w:tc>
          <w:tcPr>
            <w:tcW w:w="2835" w:type="dxa"/>
            <w:vAlign w:val="center"/>
          </w:tcPr>
          <w:p>
            <w:pPr>
              <w:pStyle w:val="26"/>
            </w:pPr>
            <w:r>
              <w:t>实际完成工作占应完成工作的比率。</w:t>
            </w:r>
          </w:p>
        </w:tc>
        <w:tc>
          <w:tcPr>
            <w:tcW w:w="2551" w:type="dxa"/>
            <w:vAlign w:val="center"/>
          </w:tcPr>
          <w:p>
            <w:pPr>
              <w:pStyle w:val="26"/>
            </w:pPr>
            <w:r>
              <w:t>100%</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质量指标</w:t>
            </w:r>
          </w:p>
        </w:tc>
        <w:tc>
          <w:tcPr>
            <w:tcW w:w="2835" w:type="dxa"/>
            <w:vAlign w:val="center"/>
          </w:tcPr>
          <w:p>
            <w:pPr>
              <w:pStyle w:val="26"/>
            </w:pPr>
            <w:r>
              <w:t>购买服务人数</w:t>
            </w:r>
          </w:p>
        </w:tc>
        <w:tc>
          <w:tcPr>
            <w:tcW w:w="2835" w:type="dxa"/>
            <w:vAlign w:val="center"/>
          </w:tcPr>
          <w:p>
            <w:pPr>
              <w:pStyle w:val="26"/>
            </w:pPr>
            <w:r>
              <w:t>根据工作需要购买服务情况。</w:t>
            </w:r>
          </w:p>
        </w:tc>
        <w:tc>
          <w:tcPr>
            <w:tcW w:w="2551" w:type="dxa"/>
            <w:vAlign w:val="center"/>
          </w:tcPr>
          <w:p>
            <w:pPr>
              <w:pStyle w:val="26"/>
            </w:pPr>
            <w:r>
              <w:t>3人</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时效指标</w:t>
            </w:r>
          </w:p>
        </w:tc>
        <w:tc>
          <w:tcPr>
            <w:tcW w:w="2835" w:type="dxa"/>
            <w:vAlign w:val="center"/>
          </w:tcPr>
          <w:p>
            <w:pPr>
              <w:pStyle w:val="26"/>
            </w:pPr>
            <w:r>
              <w:t>工资发放时间</w:t>
            </w:r>
          </w:p>
        </w:tc>
        <w:tc>
          <w:tcPr>
            <w:tcW w:w="2835" w:type="dxa"/>
            <w:vAlign w:val="center"/>
          </w:tcPr>
          <w:p>
            <w:pPr>
              <w:pStyle w:val="26"/>
            </w:pPr>
            <w:r>
              <w:t>每月20日前发放当月工资。</w:t>
            </w:r>
          </w:p>
        </w:tc>
        <w:tc>
          <w:tcPr>
            <w:tcW w:w="2551" w:type="dxa"/>
            <w:vAlign w:val="center"/>
          </w:tcPr>
          <w:p>
            <w:pPr>
              <w:pStyle w:val="26"/>
            </w:pPr>
            <w:r>
              <w:t>每月20日前</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成本指标</w:t>
            </w:r>
          </w:p>
        </w:tc>
        <w:tc>
          <w:tcPr>
            <w:tcW w:w="2835" w:type="dxa"/>
            <w:vAlign w:val="center"/>
          </w:tcPr>
          <w:p>
            <w:pPr>
              <w:pStyle w:val="26"/>
            </w:pPr>
            <w:r>
              <w:t>月工资标准</w:t>
            </w:r>
          </w:p>
        </w:tc>
        <w:tc>
          <w:tcPr>
            <w:tcW w:w="2835" w:type="dxa"/>
            <w:vAlign w:val="center"/>
          </w:tcPr>
          <w:p>
            <w:pPr>
              <w:pStyle w:val="26"/>
            </w:pPr>
            <w:r>
              <w:t>每人每月1680元。</w:t>
            </w:r>
          </w:p>
        </w:tc>
        <w:tc>
          <w:tcPr>
            <w:tcW w:w="2551" w:type="dxa"/>
            <w:vAlign w:val="center"/>
          </w:tcPr>
          <w:p>
            <w:pPr>
              <w:pStyle w:val="26"/>
            </w:pPr>
            <w:r>
              <w:t>1680元/月/人</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保障工作正常运转</w:t>
            </w:r>
          </w:p>
        </w:tc>
        <w:tc>
          <w:tcPr>
            <w:tcW w:w="2835" w:type="dxa"/>
            <w:vAlign w:val="center"/>
          </w:tcPr>
          <w:p>
            <w:pPr>
              <w:pStyle w:val="26"/>
            </w:pPr>
            <w:r>
              <w:t>保障信访接待服务中心工作正常运转情况。</w:t>
            </w:r>
          </w:p>
        </w:tc>
        <w:tc>
          <w:tcPr>
            <w:tcW w:w="2551" w:type="dxa"/>
            <w:vAlign w:val="center"/>
          </w:tcPr>
          <w:p>
            <w:pPr>
              <w:pStyle w:val="26"/>
            </w:pPr>
            <w:r>
              <w:t>有效保障</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4"/>
            </w:pPr>
          </w:p>
        </w:tc>
        <w:tc>
          <w:tcPr>
            <w:tcW w:w="2268" w:type="dxa"/>
            <w:vAlign w:val="center"/>
          </w:tcPr>
          <w:p>
            <w:pPr>
              <w:pStyle w:val="26"/>
            </w:pPr>
            <w:r>
              <w:t>社会效益指标</w:t>
            </w:r>
          </w:p>
        </w:tc>
        <w:tc>
          <w:tcPr>
            <w:tcW w:w="2835" w:type="dxa"/>
            <w:vAlign w:val="center"/>
          </w:tcPr>
          <w:p>
            <w:pPr>
              <w:pStyle w:val="26"/>
            </w:pPr>
            <w:r>
              <w:t>确保来访群众及工作人员人身安全</w:t>
            </w:r>
          </w:p>
        </w:tc>
        <w:tc>
          <w:tcPr>
            <w:tcW w:w="2835" w:type="dxa"/>
            <w:vAlign w:val="center"/>
          </w:tcPr>
          <w:p>
            <w:pPr>
              <w:pStyle w:val="26"/>
            </w:pPr>
            <w:r>
              <w:t>确保来访群众及工作人员人身安全情况。</w:t>
            </w:r>
          </w:p>
        </w:tc>
        <w:tc>
          <w:tcPr>
            <w:tcW w:w="2551" w:type="dxa"/>
            <w:vAlign w:val="center"/>
          </w:tcPr>
          <w:p>
            <w:pPr>
              <w:pStyle w:val="26"/>
            </w:pPr>
            <w:r>
              <w:t>有效保障</w:t>
            </w:r>
          </w:p>
        </w:tc>
        <w:tc>
          <w:tcPr>
            <w:tcW w:w="2268" w:type="dxa"/>
            <w:vAlign w:val="center"/>
          </w:tcPr>
          <w:p>
            <w:pPr>
              <w:pStyle w:val="2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调查中，服务对象满意和较满意人数占调查人数的比率</w:t>
            </w:r>
          </w:p>
        </w:tc>
        <w:tc>
          <w:tcPr>
            <w:tcW w:w="2551" w:type="dxa"/>
            <w:vAlign w:val="center"/>
          </w:tcPr>
          <w:p>
            <w:pPr>
              <w:pStyle w:val="26"/>
            </w:pPr>
            <w:r>
              <w:t>≥90%</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2022年，灵寿县信访局安排政府采购预算0.00万元。具体内容见下表。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542灵寿县信访局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灵寿县信访局（含所属单位）上年末固定资产金额为</w:t>
      </w:r>
      <w:r>
        <w:rPr>
          <w:rFonts w:hint="eastAsia" w:eastAsiaTheme="minorEastAsia"/>
          <w:color w:val="000000"/>
          <w:sz w:val="28"/>
          <w:lang w:eastAsia="zh-CN"/>
        </w:rPr>
        <w:t>50.74</w:t>
      </w:r>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542灵寿县信访局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eastAsia" w:eastAsiaTheme="minorEastAsia"/>
                <w:lang w:eastAsia="zh-CN"/>
              </w:rPr>
            </w:pPr>
            <w:r>
              <w:rPr>
                <w:rFonts w:hint="eastAsia" w:eastAsiaTheme="minorEastAsia"/>
                <w:lang w:eastAsia="zh-CN"/>
              </w:rPr>
              <w:t>50.74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eastAsia" w:eastAsiaTheme="minorEastAsia"/>
                <w:lang w:eastAsia="zh-CN"/>
              </w:rPr>
            </w:pPr>
            <w:r>
              <w:rPr>
                <w:rFonts w:hint="eastAsia" w:eastAsiaTheme="minorEastAsia"/>
                <w:lang w:eastAsia="zh-CN"/>
              </w:rPr>
              <w:t>46</w:t>
            </w:r>
          </w:p>
        </w:tc>
        <w:tc>
          <w:tcPr>
            <w:tcW w:w="2835" w:type="dxa"/>
            <w:vAlign w:val="center"/>
          </w:tcPr>
          <w:p>
            <w:pPr>
              <w:pStyle w:val="11"/>
              <w:rPr>
                <w:rFonts w:hint="eastAsia" w:eastAsiaTheme="minorEastAsia"/>
                <w:lang w:eastAsia="zh-CN"/>
              </w:rPr>
            </w:pPr>
            <w:r>
              <w:rPr>
                <w:rFonts w:hint="eastAsia" w:eastAsiaTheme="minorEastAsia"/>
                <w:lang w:eastAsia="zh-CN"/>
              </w:rPr>
              <w:t>50.74</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Theme="minorEastAsia"/>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rPr>
          <w:rFonts w:eastAsiaTheme="minorEastAsia"/>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jkwYjIwYmQyNzg4N2Y2ZWMwY2YzOTNiN2M5MDIzOTEifQ=="/>
  </w:docVars>
  <w:rsids>
    <w:rsidRoot w:val="00D9603A"/>
    <w:rsid w:val="00183A8C"/>
    <w:rsid w:val="002B2050"/>
    <w:rsid w:val="002F0DD0"/>
    <w:rsid w:val="00371DF2"/>
    <w:rsid w:val="00381674"/>
    <w:rsid w:val="003B3E48"/>
    <w:rsid w:val="004B06CB"/>
    <w:rsid w:val="004B1F78"/>
    <w:rsid w:val="004C6FE5"/>
    <w:rsid w:val="005C7B4C"/>
    <w:rsid w:val="007B4BD7"/>
    <w:rsid w:val="008E5A1C"/>
    <w:rsid w:val="00A502F9"/>
    <w:rsid w:val="00B13BCF"/>
    <w:rsid w:val="00D337C7"/>
    <w:rsid w:val="00D9603A"/>
    <w:rsid w:val="00E41682"/>
    <w:rsid w:val="00E60600"/>
    <w:rsid w:val="00E81508"/>
    <w:rsid w:val="00F04D6A"/>
    <w:rsid w:val="081A2BA7"/>
    <w:rsid w:val="0BD554C3"/>
    <w:rsid w:val="7E3A67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38"/>
    <w:autoRedefine/>
    <w:semiHidden/>
    <w:unhideWhenUsed/>
    <w:qFormat/>
    <w:uiPriority w:val="99"/>
    <w:pPr>
      <w:tabs>
        <w:tab w:val="center" w:pos="4153"/>
        <w:tab w:val="right" w:pos="8306"/>
      </w:tabs>
      <w:snapToGrid w:val="0"/>
    </w:pPr>
    <w:rPr>
      <w:sz w:val="18"/>
      <w:szCs w:val="18"/>
    </w:rPr>
  </w:style>
  <w:style w:type="paragraph" w:styleId="3">
    <w:name w:val="header"/>
    <w:basedOn w:val="1"/>
    <w:link w:val="37"/>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Normal_447d792f-dd20-4b1e-aa63-a9f226f83ccc"/>
    <w:qFormat/>
    <w:uiPriority w:val="0"/>
    <w:rPr>
      <w:rFonts w:ascii="Times New Roman" w:hAnsi="Times New Roman" w:eastAsia="Times New Roman" w:cs="Times New Roman"/>
      <w:sz w:val="24"/>
      <w:szCs w:val="24"/>
      <w:lang w:val="en-US" w:eastAsia="uk-UA" w:bidi="ar-SA"/>
    </w:rPr>
  </w:style>
  <w:style w:type="paragraph" w:customStyle="1" w:styleId="25">
    <w:name w:val="单元格样式1_eb73e117-219d-47cc-a137-46691d5a9b8e"/>
    <w:basedOn w:val="1"/>
    <w:qFormat/>
    <w:uiPriority w:val="0"/>
    <w:pPr>
      <w:jc w:val="center"/>
    </w:pPr>
    <w:rPr>
      <w:rFonts w:ascii="方正书宋_GBK" w:hAnsi="方正书宋_GBK" w:eastAsia="方正书宋_GBK" w:cs="方正书宋_GBK"/>
      <w:b/>
      <w:sz w:val="21"/>
    </w:rPr>
  </w:style>
  <w:style w:type="paragraph" w:customStyle="1" w:styleId="26">
    <w:name w:val="单元格样式2_a38a040b-9eba-49a0-936f-1fa06ce86280"/>
    <w:basedOn w:val="1"/>
    <w:qFormat/>
    <w:uiPriority w:val="0"/>
    <w:rPr>
      <w:rFonts w:ascii="方正书宋_GBK" w:hAnsi="方正书宋_GBK" w:eastAsia="方正书宋_GBK" w:cs="方正书宋_GBK"/>
      <w:sz w:val="21"/>
    </w:rPr>
  </w:style>
  <w:style w:type="paragraph" w:customStyle="1" w:styleId="27">
    <w:name w:val="单元格样式3_bf3b287a-2256-4106-b36c-49c82fe1aab1"/>
    <w:basedOn w:val="1"/>
    <w:qFormat/>
    <w:uiPriority w:val="0"/>
    <w:pPr>
      <w:jc w:val="center"/>
    </w:pPr>
    <w:rPr>
      <w:rFonts w:ascii="方正书宋_GBK" w:hAnsi="方正书宋_GBK" w:eastAsia="方正书宋_GBK" w:cs="方正书宋_GBK"/>
      <w:sz w:val="21"/>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TOC 2"/>
    <w:basedOn w:val="1"/>
    <w:qFormat/>
    <w:uiPriority w:val="0"/>
    <w:pPr>
      <w:ind w:left="240"/>
    </w:pPr>
  </w:style>
  <w:style w:type="paragraph" w:customStyle="1" w:styleId="34">
    <w:name w:val="TOC 3"/>
    <w:basedOn w:val="1"/>
    <w:qFormat/>
    <w:uiPriority w:val="0"/>
    <w:pPr>
      <w:ind w:left="480"/>
    </w:pPr>
  </w:style>
  <w:style w:type="paragraph" w:customStyle="1" w:styleId="35">
    <w:name w:val="TOC 4"/>
    <w:basedOn w:val="1"/>
    <w:qFormat/>
    <w:uiPriority w:val="0"/>
    <w:pPr>
      <w:ind w:left="720"/>
    </w:pPr>
  </w:style>
  <w:style w:type="paragraph" w:customStyle="1" w:styleId="36">
    <w:name w:val="TOC 1"/>
    <w:basedOn w:val="1"/>
    <w:qFormat/>
    <w:uiPriority w:val="0"/>
    <w:pPr>
      <w:spacing w:before="120"/>
      <w:ind w:firstLine="560"/>
    </w:pPr>
    <w:rPr>
      <w:rFonts w:eastAsia="方正仿宋_GBK"/>
      <w:color w:val="000000"/>
      <w:sz w:val="28"/>
    </w:rPr>
  </w:style>
  <w:style w:type="character" w:customStyle="1" w:styleId="37">
    <w:name w:val="页眉 Char"/>
    <w:basedOn w:val="6"/>
    <w:link w:val="3"/>
    <w:semiHidden/>
    <w:uiPriority w:val="99"/>
    <w:rPr>
      <w:rFonts w:eastAsia="Times New Roman"/>
      <w:sz w:val="18"/>
      <w:szCs w:val="18"/>
      <w:lang w:eastAsia="uk-UA"/>
    </w:rPr>
  </w:style>
  <w:style w:type="character" w:customStyle="1" w:styleId="38">
    <w:name w:val="页脚 Char"/>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2022-02-15T15:09:49Z</dcterms:created>
  <dcterms:modified xsi:type="dcterms:W3CDTF">2022-02-15T07:09:49Z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2022-02-15T15:09:51Z</dcterms:created>
  <dcterms:modified xsi:type="dcterms:W3CDTF">2022-02-15T07:09:50Z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2022-02-15T15:09:51Z</dcterms:created>
  <dcterms:modified xsi:type="dcterms:W3CDTF">2022-02-15T07:09:51Z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2022-02-15T15:09:48Z</dcterms:created>
  <dcterms:modified xsi:type="dcterms:W3CDTF">2022-02-15T07:09:48Z</dcterms:modified>
</cp:coreProperties>
</file>

<file path=customXml/itemProps1.xml><?xml version="1.0" encoding="utf-8"?>
<ds:datastoreItem xmlns:ds="http://schemas.openxmlformats.org/officeDocument/2006/customXml" ds:itemID="{457AD48F-6C68-4C74-A9B4-53E6E249250C}">
  <ds:schemaRefs/>
</ds:datastoreItem>
</file>

<file path=customXml/itemProps2.xml><?xml version="1.0" encoding="utf-8"?>
<ds:datastoreItem xmlns:ds="http://schemas.openxmlformats.org/officeDocument/2006/customXml" ds:itemID="{18D09FAD-BA73-4A97-9093-1CDBCD4D77C3}">
  <ds:schemaRefs/>
</ds:datastoreItem>
</file>

<file path=customXml/itemProps3.xml><?xml version="1.0" encoding="utf-8"?>
<ds:datastoreItem xmlns:ds="http://schemas.openxmlformats.org/officeDocument/2006/customXml" ds:itemID="{EDF860C7-6037-4FCD-92FE-339D5ADC8F4D}">
  <ds:schemaRefs/>
</ds:datastoreItem>
</file>

<file path=customXml/itemProps4.xml><?xml version="1.0" encoding="utf-8"?>
<ds:datastoreItem xmlns:ds="http://schemas.openxmlformats.org/officeDocument/2006/customXml" ds:itemID="{DE40CA07-1C43-4610-A87E-A70AFD885C5F}">
  <ds:schemaRefs/>
</ds:datastoreItem>
</file>

<file path=customXml/itemProps5.xml><?xml version="1.0" encoding="utf-8"?>
<ds:datastoreItem xmlns:ds="http://schemas.openxmlformats.org/officeDocument/2006/customXml" ds:itemID="{76DCDEAF-22D9-4CAA-8FEF-4D589CD9B378}">
  <ds:schemaRefs/>
</ds:datastoreItem>
</file>

<file path=customXml/itemProps6.xml><?xml version="1.0" encoding="utf-8"?>
<ds:datastoreItem xmlns:ds="http://schemas.openxmlformats.org/officeDocument/2006/customXml" ds:itemID="{41BD1ED4-E9BA-41A1-B3C9-CD7B12CAAE38}">
  <ds:schemaRefs/>
</ds:datastoreItem>
</file>

<file path=customXml/itemProps7.xml><?xml version="1.0" encoding="utf-8"?>
<ds:datastoreItem xmlns:ds="http://schemas.openxmlformats.org/officeDocument/2006/customXml" ds:itemID="{2C7757C8-4BA7-4EC0-A956-E4E49C54831C}">
  <ds:schemaRefs/>
</ds:datastoreItem>
</file>

<file path=customXml/itemProps8.xml><?xml version="1.0" encoding="utf-8"?>
<ds:datastoreItem xmlns:ds="http://schemas.openxmlformats.org/officeDocument/2006/customXml" ds:itemID="{6FE8B58F-8064-4BF1-8304-655AFE977FAB}">
  <ds:schemaRefs/>
</ds:datastoreItem>
</file>

<file path=docProps/app.xml><?xml version="1.0" encoding="utf-8"?>
<Properties xmlns="http://schemas.openxmlformats.org/officeDocument/2006/extended-properties" xmlns:vt="http://schemas.openxmlformats.org/officeDocument/2006/docPropsVTypes">
  <Template>Normal.dotm</Template>
  <Pages>24</Pages>
  <Words>1732</Words>
  <Characters>9876</Characters>
  <Lines>82</Lines>
  <Paragraphs>23</Paragraphs>
  <TotalTime>21</TotalTime>
  <ScaleCrop>false</ScaleCrop>
  <LinksUpToDate>false</LinksUpToDate>
  <CharactersWithSpaces>11585</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2022-02-15T15:09:00Z</dcterms:created>
  <dc:creator>Administrator</dc:creator>
  <cp:lastModifiedBy>Administrator</cp:lastModifiedBy>
  <dcterms:modified xsi:type="dcterms:W3CDTF">2024-01-16T02:28:59Z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6F9538DF09964FE19124D6A24AE1639D_12</vt:lpwstr>
  </property>
</Properties>
</file>