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宋体" w:cs="Times New Roman"/>
          <w:b/>
          <w:bCs/>
          <w:sz w:val="44"/>
          <w:szCs w:val="44"/>
        </w:rPr>
      </w:pPr>
      <w:r>
        <w:rPr>
          <w:rFonts w:hint="eastAsia" w:ascii="宋体" w:hAnsi="宋体" w:cs="Times New Roman"/>
          <w:b/>
          <w:bCs/>
          <w:sz w:val="44"/>
          <w:szCs w:val="44"/>
        </w:rPr>
        <w:t>灵寿县中山国文化保护开发中心</w:t>
      </w:r>
    </w:p>
    <w:p>
      <w:pPr>
        <w:adjustRightInd w:val="0"/>
        <w:snapToGrid w:val="0"/>
        <w:jc w:val="center"/>
        <w:rPr>
          <w:rFonts w:ascii="宋体" w:cs="Times New Roman"/>
          <w:b/>
          <w:bCs/>
          <w:sz w:val="44"/>
          <w:szCs w:val="44"/>
        </w:rPr>
      </w:pPr>
      <w:r>
        <w:rPr>
          <w:rFonts w:ascii="宋体" w:hAnsi="宋体" w:cs="Times New Roman"/>
          <w:b/>
          <w:bCs/>
          <w:sz w:val="44"/>
          <w:szCs w:val="44"/>
        </w:rPr>
        <w:t>2020</w:t>
      </w:r>
      <w:r>
        <w:rPr>
          <w:rFonts w:hint="eastAsia" w:ascii="宋体" w:hAnsi="宋体" w:cs="Times New Roman"/>
          <w:b/>
          <w:bCs/>
          <w:sz w:val="44"/>
          <w:szCs w:val="44"/>
        </w:rPr>
        <w:t>年部门预算信息公开情况说明</w:t>
      </w:r>
    </w:p>
    <w:p>
      <w:pPr>
        <w:ind w:firstLine="640"/>
        <w:rPr>
          <w:rFonts w:ascii="Times New Roman" w:hAnsi="Times New Roman" w:eastAsia="仿宋" w:cs="Times New Roman"/>
          <w:sz w:val="32"/>
          <w:szCs w:val="32"/>
        </w:rPr>
      </w:pPr>
    </w:p>
    <w:p>
      <w:pPr>
        <w:spacing w:line="600" w:lineRule="exact"/>
        <w:ind w:firstLine="640"/>
        <w:rPr>
          <w:rFonts w:ascii="仿宋_GB2312" w:hAnsi="Times New Roman" w:eastAsia="仿宋_GB2312" w:cs="Times New Roman"/>
          <w:sz w:val="32"/>
          <w:szCs w:val="32"/>
        </w:rPr>
      </w:pPr>
      <w:r>
        <w:rPr>
          <w:rFonts w:hint="eastAsia" w:ascii="仿宋_GB2312" w:hAnsi="Times New Roman" w:eastAsia="仿宋_GB2312" w:cs="Times New Roman"/>
          <w:sz w:val="32"/>
          <w:szCs w:val="32"/>
        </w:rPr>
        <w:t>按照《</w:t>
      </w:r>
      <w:r>
        <w:rPr>
          <w:rFonts w:hint="eastAsia" w:ascii="仿宋_GB2312" w:hAnsi="Times New Roman" w:eastAsia="仿宋_GB2312" w:cs="Times New Roman"/>
          <w:sz w:val="32"/>
          <w:szCs w:val="32"/>
          <w:lang w:val="en-US" w:eastAsia="zh-CN"/>
        </w:rPr>
        <w:t>中华人民共和国</w:t>
      </w:r>
      <w:r>
        <w:rPr>
          <w:rFonts w:hint="eastAsia" w:ascii="仿宋_GB2312" w:hAnsi="Times New Roman" w:eastAsia="仿宋_GB2312" w:cs="Times New Roman"/>
          <w:sz w:val="32"/>
          <w:szCs w:val="32"/>
        </w:rPr>
        <w:t>预算法》、《地方预决算公开操作规程》规定，现将灵寿县中山国文化保护开发中心</w:t>
      </w: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年部门预算公开如下：</w:t>
      </w:r>
    </w:p>
    <w:p>
      <w:pPr>
        <w:spacing w:line="600" w:lineRule="exact"/>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spacing w:line="600" w:lineRule="exact"/>
        <w:ind w:firstLine="641"/>
        <w:rPr>
          <w:rFonts w:ascii="楷体" w:hAnsi="楷体" w:eastAsia="楷体" w:cs="Times New Roman"/>
          <w:b/>
          <w:sz w:val="32"/>
          <w:szCs w:val="32"/>
        </w:rPr>
      </w:pPr>
      <w:r>
        <w:rPr>
          <w:rFonts w:hint="eastAsia" w:ascii="楷体" w:hAnsi="楷体" w:eastAsia="楷体" w:cs="Times New Roman"/>
          <w:b/>
          <w:sz w:val="32"/>
          <w:szCs w:val="32"/>
        </w:rPr>
        <w:t>部门职责：</w:t>
      </w:r>
    </w:p>
    <w:p>
      <w:pPr>
        <w:spacing w:line="600" w:lineRule="exact"/>
        <w:ind w:firstLine="640" w:firstLineChars="200"/>
        <w:jc w:val="left"/>
        <w:rPr>
          <w:rFonts w:ascii="仿宋_GB2312" w:hAnsi="Times New Roman" w:eastAsia="仿宋_GB2312" w:cs="Times New Roman"/>
          <w:sz w:val="32"/>
          <w:szCs w:val="32"/>
        </w:rPr>
      </w:pPr>
      <w:r>
        <w:rPr>
          <w:rFonts w:hint="eastAsia" w:ascii="仿宋_GB2312" w:hAnsi="Times New Roman" w:eastAsia="仿宋_GB2312" w:cs="Times New Roman"/>
          <w:sz w:val="32"/>
          <w:szCs w:val="32"/>
        </w:rPr>
        <w:t>根据《灵寿县中山国文化保护开发中心职能配置、内设机构和人员编制规定》，</w:t>
      </w:r>
      <w:r>
        <w:rPr>
          <w:rFonts w:ascii="仿宋_GB2312" w:hAnsi="Times New Roman" w:eastAsia="仿宋_GB2312" w:cs="Times New Roman"/>
          <w:sz w:val="32"/>
          <w:szCs w:val="32"/>
        </w:rPr>
        <w:t xml:space="preserve"> </w:t>
      </w:r>
      <w:r>
        <w:rPr>
          <w:rFonts w:hint="eastAsia" w:ascii="仿宋_GB2312" w:hAnsi="Times New Roman" w:eastAsia="仿宋_GB2312" w:cs="Times New Roman"/>
          <w:sz w:val="32"/>
          <w:szCs w:val="32"/>
        </w:rPr>
        <w:t>灵寿县中山国文化保护开发中心的主要职责是：</w:t>
      </w:r>
    </w:p>
    <w:p>
      <w:pPr>
        <w:spacing w:line="600" w:lineRule="exact"/>
        <w:ind w:firstLine="640" w:firstLineChars="200"/>
        <w:jc w:val="left"/>
        <w:rPr>
          <w:rFonts w:ascii="仿宋_GB2312" w:hAnsi="Times New Roman" w:eastAsia="仿宋_GB2312" w:cs="Times New Roman"/>
          <w:sz w:val="32"/>
          <w:szCs w:val="32"/>
        </w:rPr>
      </w:pPr>
      <w:r>
        <w:rPr>
          <w:rFonts w:hint="eastAsia" w:ascii="仿宋_GB2312" w:hAnsi="Times New Roman" w:eastAsia="仿宋_GB2312" w:cs="Times New Roman"/>
          <w:sz w:val="32"/>
          <w:szCs w:val="32"/>
        </w:rPr>
        <w:t>认真贯彻落实习近平总书记关于文化保护开发的重要思想和党中央关于文化保护开发工作的部署，贯彻落实文化保护开发的法律法规和相关政策文件；建立和落实文化保护开发责任制，加强</w:t>
      </w:r>
      <w:bookmarkStart w:id="5" w:name="_GoBack"/>
      <w:bookmarkEnd w:id="5"/>
      <w:r>
        <w:rPr>
          <w:rFonts w:hint="eastAsia" w:ascii="仿宋_GB2312" w:hAnsi="Times New Roman" w:eastAsia="仿宋_GB2312" w:cs="Times New Roman"/>
          <w:sz w:val="32"/>
          <w:szCs w:val="32"/>
        </w:rPr>
        <w:t>中山国文化资源的保护挖掘和开发利用，做好中山国遗址及相关区域的规划建设、土地收储、</w:t>
      </w:r>
      <w:r>
        <w:rPr>
          <w:rFonts w:ascii="仿宋_GB2312" w:hAnsi="Times New Roman" w:eastAsia="仿宋_GB2312" w:cs="Times New Roman"/>
          <w:sz w:val="32"/>
          <w:szCs w:val="32"/>
        </w:rPr>
        <w:t xml:space="preserve"> </w:t>
      </w:r>
      <w:r>
        <w:rPr>
          <w:rFonts w:hint="eastAsia" w:ascii="仿宋_GB2312" w:hAnsi="Times New Roman" w:eastAsia="仿宋_GB2312" w:cs="Times New Roman"/>
          <w:sz w:val="32"/>
          <w:szCs w:val="32"/>
        </w:rPr>
        <w:t>征地拆迁</w:t>
      </w:r>
      <w:r>
        <w:rPr>
          <w:rFonts w:ascii="仿宋_GB2312" w:hAnsi="Times New Roman" w:eastAsia="仿宋_GB2312" w:cs="Times New Roman"/>
          <w:sz w:val="32"/>
          <w:szCs w:val="32"/>
        </w:rPr>
        <w:t xml:space="preserve"> </w:t>
      </w:r>
      <w:r>
        <w:rPr>
          <w:rFonts w:hint="eastAsia" w:ascii="仿宋_GB2312" w:hAnsi="Times New Roman" w:eastAsia="仿宋_GB2312" w:cs="Times New Roman"/>
          <w:sz w:val="32"/>
          <w:szCs w:val="32"/>
        </w:rPr>
        <w:t>、招商引资</w:t>
      </w:r>
      <w:r>
        <w:rPr>
          <w:rFonts w:ascii="仿宋_GB2312" w:hAnsi="Times New Roman" w:eastAsia="仿宋_GB2312" w:cs="Times New Roman"/>
          <w:sz w:val="32"/>
          <w:szCs w:val="32"/>
        </w:rPr>
        <w:t xml:space="preserve"> </w:t>
      </w:r>
      <w:r>
        <w:rPr>
          <w:rFonts w:hint="eastAsia" w:ascii="仿宋_GB2312" w:hAnsi="Times New Roman" w:eastAsia="仿宋_GB2312" w:cs="Times New Roman"/>
          <w:sz w:val="32"/>
          <w:szCs w:val="32"/>
        </w:rPr>
        <w:t>、产业发展，以及重大项目的组织实施；做好市中山国文化保护开发领导小组部署工作在县域的组织实施，以及市中山国文化保护开发中心交办的工作；认真完成县委、县政府交办的其他任务，促进我县中山国文化保护及开发工作取得更长足的发展，让中山国文化成为我县经济、社会、文化发展的一张新名片。</w:t>
      </w:r>
    </w:p>
    <w:p>
      <w:pPr>
        <w:spacing w:line="600" w:lineRule="exact"/>
        <w:ind w:firstLine="640" w:firstLineChars="200"/>
        <w:jc w:val="left"/>
        <w:rPr>
          <w:rFonts w:ascii="仿宋_GB2312" w:hAnsi="Times New Roman" w:eastAsia="仿宋_GB2312" w:cs="Times New Roman"/>
          <w:sz w:val="32"/>
          <w:szCs w:val="32"/>
        </w:rPr>
      </w:pPr>
    </w:p>
    <w:p>
      <w:pPr>
        <w:spacing w:line="600" w:lineRule="exact"/>
        <w:ind w:firstLine="640" w:firstLineChars="200"/>
        <w:jc w:val="left"/>
        <w:rPr>
          <w:rFonts w:ascii="仿宋_GB2312" w:hAnsi="Times New Roman" w:eastAsia="仿宋_GB2312" w:cs="Times New Roman"/>
          <w:sz w:val="32"/>
          <w:szCs w:val="32"/>
        </w:rPr>
      </w:pPr>
    </w:p>
    <w:p>
      <w:pPr>
        <w:spacing w:line="600" w:lineRule="exact"/>
        <w:ind w:firstLine="643" w:firstLineChars="200"/>
        <w:jc w:val="left"/>
        <w:rPr>
          <w:rFonts w:ascii="仿宋_GB2312" w:hAnsi="仿宋" w:eastAsia="仿宋_GB2312" w:cs="Times New Roman"/>
          <w:b/>
          <w:sz w:val="32"/>
          <w:szCs w:val="32"/>
        </w:rPr>
      </w:pPr>
    </w:p>
    <w:p>
      <w:pPr>
        <w:ind w:firstLine="643" w:firstLineChars="200"/>
        <w:rPr>
          <w:rFonts w:ascii="楷体" w:hAnsi="楷体" w:eastAsia="楷体" w:cs="Times New Roman"/>
          <w:b/>
          <w:sz w:val="32"/>
          <w:szCs w:val="32"/>
        </w:rPr>
      </w:pPr>
      <w:r>
        <w:rPr>
          <w:rFonts w:hint="eastAsia" w:ascii="楷体" w:hAnsi="楷体" w:eastAsia="楷体" w:cs="Times New Roman"/>
          <w:b/>
          <w:sz w:val="32"/>
          <w:szCs w:val="32"/>
        </w:rPr>
        <w:t>机构设置：</w:t>
      </w:r>
    </w:p>
    <w:p>
      <w:pPr>
        <w:jc w:val="center"/>
        <w:outlineLvl w:val="0"/>
        <w:rPr>
          <w:rFonts w:ascii="Times New Roman" w:hAnsi="Times New Roman" w:eastAsia="方正小标宋_GBK" w:cs="Times New Roman"/>
          <w:sz w:val="32"/>
          <w:szCs w:val="24"/>
        </w:rPr>
      </w:pPr>
      <w:r>
        <w:rPr>
          <w:rFonts w:hint="eastAsia" w:ascii="Times New Roman" w:hAnsi="Times New Roman" w:eastAsia="方正小标宋_GBK" w:cs="Times New Roman"/>
          <w:sz w:val="32"/>
          <w:szCs w:val="24"/>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5" w:hRule="atLeast"/>
          <w:jc w:val="center"/>
        </w:trPr>
        <w:tc>
          <w:tcPr>
            <w:tcW w:w="4417"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灵寿县中山国文化保护开发中心</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bl>
    <w:p/>
    <w:p>
      <w:pPr>
        <w:spacing w:line="600" w:lineRule="exact"/>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spacing w:line="600" w:lineRule="exact"/>
        <w:ind w:firstLine="640"/>
        <w:rPr>
          <w:rFonts w:ascii="仿宋_GB2312" w:hAnsi="Times New Roman" w:eastAsia="仿宋_GB2312" w:cs="Times New Roman"/>
          <w:sz w:val="32"/>
          <w:szCs w:val="32"/>
        </w:rPr>
      </w:pPr>
      <w:r>
        <w:rPr>
          <w:rFonts w:hint="eastAsia" w:ascii="仿宋_GB2312" w:hAnsi="Times New Roman" w:eastAsia="仿宋_GB2312" w:cs="Times New Roman"/>
          <w:sz w:val="32"/>
          <w:szCs w:val="32"/>
        </w:rPr>
        <w:t>按照预算管理有关规定，目前我县部门预算的编制实行综合预算管理，即全部收入和支出都反映的预算中。灵寿县中山国文化保护开发中心的收支包含在部门预算中。</w:t>
      </w:r>
    </w:p>
    <w:p>
      <w:pPr>
        <w:spacing w:line="600" w:lineRule="exact"/>
        <w:ind w:firstLine="640"/>
        <w:rPr>
          <w:rFonts w:ascii="楷体" w:hAnsi="楷体" w:eastAsia="楷体" w:cs="Times New Roman"/>
          <w:sz w:val="32"/>
          <w:szCs w:val="32"/>
        </w:rPr>
      </w:pPr>
      <w:r>
        <w:rPr>
          <w:rFonts w:hint="eastAsia" w:ascii="楷体" w:hAnsi="楷体" w:eastAsia="楷体" w:cs="Times New Roman"/>
          <w:sz w:val="32"/>
          <w:szCs w:val="32"/>
        </w:rPr>
        <w:t>（一）收入说明</w:t>
      </w:r>
    </w:p>
    <w:p>
      <w:pPr>
        <w:spacing w:line="600" w:lineRule="exact"/>
        <w:ind w:firstLine="640"/>
        <w:rPr>
          <w:rFonts w:ascii="仿宋_GB2312" w:hAnsi="Times New Roman" w:eastAsia="仿宋_GB2312" w:cs="Times New Roman"/>
          <w:sz w:val="32"/>
          <w:szCs w:val="32"/>
        </w:rPr>
      </w:pPr>
      <w:r>
        <w:rPr>
          <w:rFonts w:hint="eastAsia" w:ascii="仿宋_GB2312" w:hAnsi="Times New Roman" w:eastAsia="仿宋_GB2312" w:cs="Times New Roman"/>
          <w:sz w:val="32"/>
          <w:szCs w:val="32"/>
        </w:rPr>
        <w:t>反映本部门当年全部收入。</w:t>
      </w: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年预算收入</w:t>
      </w:r>
      <w:r>
        <w:rPr>
          <w:rFonts w:ascii="仿宋_GB2312" w:hAnsi="Times New Roman" w:eastAsia="仿宋_GB2312" w:cs="Times New Roman"/>
          <w:sz w:val="32"/>
          <w:szCs w:val="32"/>
        </w:rPr>
        <w:t>42.82</w:t>
      </w:r>
      <w:r>
        <w:rPr>
          <w:rFonts w:hint="eastAsia" w:ascii="仿宋_GB2312" w:hAnsi="Times New Roman" w:eastAsia="仿宋_GB2312" w:cs="Times New Roman"/>
          <w:sz w:val="32"/>
          <w:szCs w:val="32"/>
        </w:rPr>
        <w:t>万元，其中：一般公共预算收入</w:t>
      </w:r>
      <w:r>
        <w:rPr>
          <w:rFonts w:ascii="仿宋_GB2312" w:hAnsi="Times New Roman" w:eastAsia="仿宋_GB2312" w:cs="Times New Roman"/>
          <w:sz w:val="32"/>
          <w:szCs w:val="32"/>
        </w:rPr>
        <w:t>42.82</w:t>
      </w:r>
      <w:r>
        <w:rPr>
          <w:rFonts w:hint="eastAsia" w:ascii="仿宋_GB2312" w:hAnsi="Times New Roman" w:eastAsia="仿宋_GB2312" w:cs="Times New Roman"/>
          <w:sz w:val="32"/>
          <w:szCs w:val="32"/>
        </w:rPr>
        <w:t>万元，基金预算收入</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万元。</w:t>
      </w:r>
    </w:p>
    <w:p>
      <w:pPr>
        <w:spacing w:line="600" w:lineRule="exact"/>
        <w:ind w:firstLine="640"/>
        <w:rPr>
          <w:rFonts w:ascii="楷体" w:hAnsi="楷体" w:eastAsia="楷体" w:cs="Times New Roman"/>
          <w:sz w:val="32"/>
          <w:szCs w:val="32"/>
        </w:rPr>
      </w:pPr>
      <w:r>
        <w:rPr>
          <w:rFonts w:hint="eastAsia" w:ascii="楷体" w:hAnsi="楷体" w:eastAsia="楷体" w:cs="Times New Roman"/>
          <w:sz w:val="32"/>
          <w:szCs w:val="32"/>
        </w:rPr>
        <w:t>（二）支出说明</w:t>
      </w:r>
    </w:p>
    <w:p>
      <w:pPr>
        <w:spacing w:line="600" w:lineRule="exact"/>
        <w:ind w:firstLine="640"/>
        <w:rPr>
          <w:rFonts w:ascii="仿宋_GB2312" w:hAnsi="Times New Roman" w:eastAsia="仿宋_GB2312" w:cs="Times New Roman"/>
          <w:sz w:val="32"/>
          <w:szCs w:val="32"/>
        </w:rPr>
      </w:pPr>
      <w:r>
        <w:rPr>
          <w:rFonts w:hint="eastAsia" w:ascii="仿宋_GB2312" w:hAnsi="Times New Roman" w:eastAsia="仿宋_GB2312" w:cs="Times New Roman"/>
          <w:sz w:val="32"/>
          <w:szCs w:val="32"/>
        </w:rPr>
        <w:t>收支预算总表支出栏、基本支出表、项目支出表按经济分类和支出功能分类科目编制，反映灵寿县中山国文化保护开发中心年度部门预算中支出预算的总体情况。</w:t>
      </w: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年部门支出预算为</w:t>
      </w:r>
      <w:r>
        <w:rPr>
          <w:rFonts w:ascii="仿宋_GB2312" w:hAnsi="Times New Roman" w:eastAsia="仿宋_GB2312" w:cs="Times New Roman"/>
          <w:sz w:val="32"/>
          <w:szCs w:val="32"/>
        </w:rPr>
        <w:t>42.82</w:t>
      </w:r>
      <w:r>
        <w:rPr>
          <w:rFonts w:hint="eastAsia" w:ascii="仿宋_GB2312" w:hAnsi="Times New Roman" w:eastAsia="仿宋_GB2312" w:cs="Times New Roman"/>
          <w:sz w:val="32"/>
          <w:szCs w:val="32"/>
        </w:rPr>
        <w:t>万元，其中基本支出</w:t>
      </w:r>
      <w:r>
        <w:rPr>
          <w:rFonts w:ascii="仿宋_GB2312" w:hAnsi="Times New Roman" w:eastAsia="仿宋_GB2312" w:cs="Times New Roman"/>
          <w:sz w:val="32"/>
          <w:szCs w:val="32"/>
        </w:rPr>
        <w:t>42.82</w:t>
      </w:r>
      <w:r>
        <w:rPr>
          <w:rFonts w:hint="eastAsia" w:ascii="仿宋_GB2312" w:hAnsi="Times New Roman" w:eastAsia="仿宋_GB2312" w:cs="Times New Roman"/>
          <w:sz w:val="32"/>
          <w:szCs w:val="32"/>
        </w:rPr>
        <w:t>万元，包括人员经费</w:t>
      </w:r>
      <w:r>
        <w:rPr>
          <w:rFonts w:ascii="仿宋_GB2312" w:hAnsi="Times New Roman" w:eastAsia="仿宋_GB2312" w:cs="Times New Roman"/>
          <w:sz w:val="32"/>
          <w:szCs w:val="32"/>
        </w:rPr>
        <w:t>39.17</w:t>
      </w:r>
      <w:r>
        <w:rPr>
          <w:rFonts w:hint="eastAsia" w:ascii="仿宋_GB2312" w:hAnsi="Times New Roman" w:eastAsia="仿宋_GB2312" w:cs="Times New Roman"/>
          <w:sz w:val="32"/>
          <w:szCs w:val="32"/>
        </w:rPr>
        <w:t>万元和日常公用经费</w:t>
      </w:r>
      <w:r>
        <w:rPr>
          <w:rFonts w:ascii="仿宋_GB2312" w:hAnsi="Times New Roman" w:eastAsia="仿宋_GB2312" w:cs="Times New Roman"/>
          <w:sz w:val="32"/>
          <w:szCs w:val="32"/>
        </w:rPr>
        <w:t>3.65</w:t>
      </w:r>
      <w:r>
        <w:rPr>
          <w:rFonts w:hint="eastAsia" w:ascii="仿宋_GB2312" w:hAnsi="Times New Roman" w:eastAsia="仿宋_GB2312" w:cs="Times New Roman"/>
          <w:sz w:val="32"/>
          <w:szCs w:val="32"/>
        </w:rPr>
        <w:t>万元，其他支出</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万元。</w:t>
      </w:r>
    </w:p>
    <w:p>
      <w:pPr>
        <w:spacing w:line="600" w:lineRule="exact"/>
        <w:ind w:firstLine="640"/>
        <w:rPr>
          <w:rFonts w:ascii="楷体" w:hAnsi="楷体" w:eastAsia="楷体" w:cs="Times New Roman"/>
          <w:sz w:val="32"/>
          <w:szCs w:val="32"/>
        </w:rPr>
      </w:pPr>
      <w:r>
        <w:rPr>
          <w:rFonts w:hint="eastAsia" w:ascii="楷体" w:hAnsi="楷体" w:eastAsia="楷体" w:cs="Times New Roman"/>
          <w:sz w:val="32"/>
          <w:szCs w:val="32"/>
        </w:rPr>
        <w:t>（三）比上年增减情况</w:t>
      </w:r>
    </w:p>
    <w:p>
      <w:pPr>
        <w:autoSpaceDE w:val="0"/>
        <w:autoSpaceDN w:val="0"/>
        <w:adjustRightInd w:val="0"/>
        <w:spacing w:line="600" w:lineRule="exact"/>
        <w:ind w:firstLine="640" w:firstLineChars="200"/>
        <w:jc w:val="left"/>
        <w:rPr>
          <w:rFonts w:ascii="仿宋_GB2312" w:hAnsi="Times New Roman" w:eastAsia="仿宋_GB2312" w:cs="Times New Roman"/>
          <w:sz w:val="32"/>
          <w:szCs w:val="32"/>
        </w:rPr>
      </w:pPr>
      <w:r>
        <w:rPr>
          <w:rFonts w:hint="eastAsia" w:ascii="仿宋_GB2312" w:hAnsi="Times New Roman" w:eastAsia="仿宋_GB2312" w:cs="Times New Roman"/>
          <w:sz w:val="32"/>
          <w:szCs w:val="32"/>
        </w:rPr>
        <w:t>本单位为新成立机构，无上年预算数。</w:t>
      </w:r>
    </w:p>
    <w:p>
      <w:pPr>
        <w:autoSpaceDE w:val="0"/>
        <w:autoSpaceDN w:val="0"/>
        <w:adjustRightInd w:val="0"/>
        <w:spacing w:line="600" w:lineRule="exact"/>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spacing w:line="600" w:lineRule="exact"/>
        <w:ind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年，我部门机关运行经费共计安排</w:t>
      </w:r>
      <w:r>
        <w:rPr>
          <w:rFonts w:ascii="仿宋_GB2312" w:hAnsi="Times New Roman" w:eastAsia="仿宋_GB2312" w:cs="Times New Roman"/>
          <w:sz w:val="32"/>
          <w:szCs w:val="32"/>
        </w:rPr>
        <w:t>3.65</w:t>
      </w:r>
      <w:r>
        <w:rPr>
          <w:rFonts w:hint="eastAsia" w:ascii="仿宋_GB2312" w:hAnsi="Times New Roman" w:eastAsia="仿宋_GB2312" w:cs="Times New Roman"/>
          <w:sz w:val="32"/>
          <w:szCs w:val="32"/>
        </w:rPr>
        <w:t>万元，主要用于保证机关正常运转的办公及印刷费、邮电费、差旅费、工会费、福利费、党组织生活费等支出。</w:t>
      </w:r>
    </w:p>
    <w:p>
      <w:pPr>
        <w:autoSpaceDE w:val="0"/>
        <w:autoSpaceDN w:val="0"/>
        <w:adjustRightInd w:val="0"/>
        <w:spacing w:line="600" w:lineRule="exact"/>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autoSpaceDE w:val="0"/>
        <w:autoSpaceDN w:val="0"/>
        <w:adjustRightInd w:val="0"/>
        <w:spacing w:line="600" w:lineRule="exact"/>
        <w:ind w:firstLine="640" w:firstLineChars="200"/>
        <w:jc w:val="left"/>
        <w:rPr>
          <w:rFonts w:ascii="仿宋_GB2312" w:hAnsi="Times New Roman" w:eastAsia="仿宋_GB2312" w:cs="Times New Roman"/>
          <w:color w:val="FF6600"/>
          <w:sz w:val="32"/>
          <w:szCs w:val="32"/>
        </w:rPr>
      </w:pP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年，我部门财政拨款“三公”经费预算安排</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万元，其中：因公出国（境）费</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万元；公务用车购置及运维费</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万元（其中：公务用车购置费</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万元，公务用车运行维护费</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万元</w:t>
      </w:r>
      <w:r>
        <w:rPr>
          <w:rFonts w:ascii="仿宋_GB2312" w:hAnsi="Times New Roman" w:eastAsia="仿宋_GB2312" w:cs="Times New Roman"/>
          <w:sz w:val="32"/>
          <w:szCs w:val="32"/>
        </w:rPr>
        <w:t>)</w:t>
      </w:r>
      <w:r>
        <w:rPr>
          <w:rFonts w:hint="eastAsia" w:ascii="仿宋_GB2312" w:hAnsi="Times New Roman" w:eastAsia="仿宋_GB2312" w:cs="Times New Roman"/>
          <w:sz w:val="32"/>
          <w:szCs w:val="32"/>
        </w:rPr>
        <w:t>；公务接待费</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万元。本单位为新成立机构，无上年预算数。</w:t>
      </w:r>
    </w:p>
    <w:p>
      <w:pPr>
        <w:autoSpaceDE w:val="0"/>
        <w:autoSpaceDN w:val="0"/>
        <w:adjustRightInd w:val="0"/>
        <w:spacing w:line="600" w:lineRule="exact"/>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spacing w:line="600" w:lineRule="exact"/>
        <w:ind w:firstLine="643" w:firstLineChars="200"/>
        <w:jc w:val="left"/>
        <w:rPr>
          <w:rFonts w:ascii="仿宋_GB2312" w:hAnsi="Times New Roman" w:eastAsia="仿宋_GB2312" w:cs="Times New Roman"/>
          <w:sz w:val="32"/>
          <w:szCs w:val="32"/>
        </w:rPr>
      </w:pPr>
      <w:bookmarkStart w:id="0" w:name="_Toc471398463"/>
      <w:r>
        <w:rPr>
          <w:rFonts w:hint="eastAsia" w:ascii="仿宋_GB2312" w:hAnsi="Times New Roman" w:eastAsia="仿宋_GB2312" w:cs="Times New Roman"/>
          <w:b/>
          <w:sz w:val="32"/>
          <w:szCs w:val="32"/>
        </w:rPr>
        <w:t>第一部分</w:t>
      </w:r>
      <w:r>
        <w:rPr>
          <w:rFonts w:ascii="仿宋_GB2312" w:hAnsi="Times New Roman" w:eastAsia="仿宋_GB2312" w:cs="Times New Roman"/>
          <w:b/>
          <w:sz w:val="32"/>
          <w:szCs w:val="32"/>
        </w:rPr>
        <w:t xml:space="preserve">  </w:t>
      </w:r>
      <w:r>
        <w:rPr>
          <w:rFonts w:hint="eastAsia" w:ascii="仿宋_GB2312" w:hAnsi="Times New Roman" w:eastAsia="仿宋_GB2312" w:cs="Times New Roman"/>
          <w:b/>
          <w:sz w:val="32"/>
          <w:szCs w:val="32"/>
        </w:rPr>
        <w:t>部门整体绩效目标</w:t>
      </w:r>
    </w:p>
    <w:p>
      <w:pPr>
        <w:numPr>
          <w:ilvl w:val="0"/>
          <w:numId w:val="1"/>
        </w:numPr>
        <w:autoSpaceDE w:val="0"/>
        <w:autoSpaceDN w:val="0"/>
        <w:adjustRightInd w:val="0"/>
        <w:spacing w:line="600" w:lineRule="exact"/>
        <w:jc w:val="left"/>
        <w:rPr>
          <w:rFonts w:ascii="楷体" w:hAnsi="楷体" w:eastAsia="楷体" w:cs="Times New Roman"/>
          <w:b/>
          <w:sz w:val="32"/>
          <w:szCs w:val="32"/>
        </w:rPr>
      </w:pPr>
      <w:r>
        <w:rPr>
          <w:rFonts w:hint="eastAsia" w:ascii="楷体" w:hAnsi="楷体" w:eastAsia="楷体" w:cs="Times New Roman"/>
          <w:b/>
          <w:sz w:val="32"/>
          <w:szCs w:val="32"/>
        </w:rPr>
        <w:t>总体绩效目标</w:t>
      </w:r>
    </w:p>
    <w:p>
      <w:pPr>
        <w:spacing w:line="600" w:lineRule="exact"/>
        <w:ind w:firstLine="640" w:firstLineChars="200"/>
        <w:jc w:val="left"/>
        <w:rPr>
          <w:rFonts w:ascii="仿宋_GB2312" w:hAnsi="Times New Roman" w:eastAsia="仿宋_GB2312" w:cs="Times New Roman"/>
          <w:sz w:val="32"/>
          <w:szCs w:val="32"/>
        </w:rPr>
      </w:pPr>
      <w:r>
        <w:rPr>
          <w:rFonts w:hint="eastAsia" w:ascii="仿宋_GB2312" w:hAnsi="Times New Roman" w:eastAsia="仿宋_GB2312" w:cs="Times New Roman"/>
          <w:sz w:val="32"/>
          <w:szCs w:val="32"/>
        </w:rPr>
        <w:t>以习近平新时代中国特色社会主义思想为指导，深入贯彻落实中央、省、市委有关会议精神，不忘初心、牢记使命，推进新时代我县文化保护开发工作。加强中山国文化资源的保护挖掘和开发利用，做好中山国遗址及相关区域的规划建设、土地收储、</w:t>
      </w:r>
      <w:r>
        <w:rPr>
          <w:rFonts w:ascii="仿宋_GB2312" w:hAnsi="Times New Roman" w:eastAsia="仿宋_GB2312" w:cs="Times New Roman"/>
          <w:sz w:val="32"/>
          <w:szCs w:val="32"/>
        </w:rPr>
        <w:t xml:space="preserve"> </w:t>
      </w:r>
      <w:r>
        <w:rPr>
          <w:rFonts w:hint="eastAsia" w:ascii="仿宋_GB2312" w:hAnsi="Times New Roman" w:eastAsia="仿宋_GB2312" w:cs="Times New Roman"/>
          <w:sz w:val="32"/>
          <w:szCs w:val="32"/>
        </w:rPr>
        <w:t>征地拆迁</w:t>
      </w:r>
      <w:r>
        <w:rPr>
          <w:rFonts w:ascii="仿宋_GB2312" w:hAnsi="Times New Roman" w:eastAsia="仿宋_GB2312" w:cs="Times New Roman"/>
          <w:sz w:val="32"/>
          <w:szCs w:val="32"/>
        </w:rPr>
        <w:t xml:space="preserve"> </w:t>
      </w:r>
      <w:r>
        <w:rPr>
          <w:rFonts w:hint="eastAsia" w:ascii="仿宋_GB2312" w:hAnsi="Times New Roman" w:eastAsia="仿宋_GB2312" w:cs="Times New Roman"/>
          <w:sz w:val="32"/>
          <w:szCs w:val="32"/>
        </w:rPr>
        <w:t>、招商引资</w:t>
      </w:r>
      <w:r>
        <w:rPr>
          <w:rFonts w:ascii="仿宋_GB2312" w:hAnsi="Times New Roman" w:eastAsia="仿宋_GB2312" w:cs="Times New Roman"/>
          <w:sz w:val="32"/>
          <w:szCs w:val="32"/>
        </w:rPr>
        <w:t xml:space="preserve"> </w:t>
      </w:r>
      <w:r>
        <w:rPr>
          <w:rFonts w:hint="eastAsia" w:ascii="仿宋_GB2312" w:hAnsi="Times New Roman" w:eastAsia="仿宋_GB2312" w:cs="Times New Roman"/>
          <w:sz w:val="32"/>
          <w:szCs w:val="32"/>
        </w:rPr>
        <w:t>、产业发展，以及重大项目的组织实施；做好市中山国文化保护开发领导小组部署工作在县域的组织实施，以及市中山国文化保护开发中心交办的工作；认真完成县委、县政府交办的其他任务，促进我县中山国文化保护及开发工作取得更长足的发展。</w:t>
      </w:r>
    </w:p>
    <w:p>
      <w:pPr>
        <w:autoSpaceDE w:val="0"/>
        <w:autoSpaceDN w:val="0"/>
        <w:adjustRightInd w:val="0"/>
        <w:spacing w:line="600" w:lineRule="exact"/>
        <w:ind w:firstLine="643" w:firstLineChars="200"/>
        <w:jc w:val="left"/>
        <w:rPr>
          <w:rFonts w:ascii="楷体" w:hAnsi="楷体" w:eastAsia="楷体" w:cs="Times New Roman"/>
          <w:b/>
          <w:sz w:val="32"/>
          <w:szCs w:val="32"/>
        </w:rPr>
      </w:pPr>
      <w:r>
        <w:rPr>
          <w:rFonts w:hint="eastAsia" w:ascii="楷体" w:hAnsi="楷体" w:eastAsia="楷体" w:cs="Times New Roman"/>
          <w:b/>
          <w:sz w:val="32"/>
          <w:szCs w:val="32"/>
        </w:rPr>
        <w:t>（二）分项绩效目标</w:t>
      </w:r>
      <w:r>
        <w:rPr>
          <w:rFonts w:ascii="楷体" w:hAnsi="楷体" w:eastAsia="楷体" w:cs="Times New Roman"/>
          <w:b/>
          <w:sz w:val="32"/>
          <w:szCs w:val="32"/>
        </w:rPr>
        <w:fldChar w:fldCharType="begin"/>
      </w:r>
      <w:r>
        <w:rPr>
          <w:rFonts w:ascii="楷体" w:hAnsi="楷体" w:eastAsia="楷体" w:cs="Times New Roman"/>
          <w:b/>
          <w:sz w:val="32"/>
          <w:szCs w:val="32"/>
        </w:rPr>
        <w:instrText xml:space="preserve">tc "</w:instrText>
      </w:r>
      <w:bookmarkStart w:id="1" w:name="_Toc29484629"/>
      <w:r>
        <w:rPr>
          <w:rFonts w:hint="eastAsia" w:ascii="楷体" w:hAnsi="楷体" w:eastAsia="楷体" w:cs="Times New Roman"/>
          <w:b/>
          <w:sz w:val="32"/>
          <w:szCs w:val="32"/>
        </w:rPr>
        <w:instrText xml:space="preserve">分项绩效目标</w:instrText>
      </w:r>
      <w:bookmarkEnd w:id="1"/>
      <w:r>
        <w:rPr>
          <w:rFonts w:ascii="楷体" w:hAnsi="楷体" w:eastAsia="楷体" w:cs="Times New Roman"/>
          <w:b/>
          <w:sz w:val="32"/>
          <w:szCs w:val="32"/>
        </w:rPr>
        <w:instrText xml:space="preserve">" \f A \l 001</w:instrText>
      </w:r>
      <w:r>
        <w:rPr>
          <w:rFonts w:ascii="楷体" w:hAnsi="楷体" w:eastAsia="楷体" w:cs="Times New Roman"/>
          <w:b/>
          <w:sz w:val="32"/>
          <w:szCs w:val="32"/>
        </w:rPr>
        <w:fldChar w:fldCharType="end"/>
      </w:r>
    </w:p>
    <w:p>
      <w:pPr>
        <w:spacing w:line="600" w:lineRule="exact"/>
        <w:ind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1</w:t>
      </w:r>
      <w:r>
        <w:rPr>
          <w:rFonts w:hint="eastAsia" w:ascii="仿宋_GB2312" w:hAnsi="Times New Roman" w:eastAsia="仿宋_GB2312" w:cs="Times New Roman"/>
          <w:sz w:val="32"/>
          <w:szCs w:val="32"/>
        </w:rPr>
        <w:t>．中山国文化传承保护工作做实做细</w:t>
      </w:r>
    </w:p>
    <w:p>
      <w:pPr>
        <w:spacing w:line="600" w:lineRule="exact"/>
        <w:ind w:firstLine="640" w:firstLineChars="200"/>
        <w:jc w:val="left"/>
        <w:rPr>
          <w:rFonts w:ascii="仿宋_GB2312" w:hAnsi="Times New Roman" w:eastAsia="仿宋_GB2312" w:cs="Times New Roman"/>
          <w:sz w:val="32"/>
          <w:szCs w:val="32"/>
        </w:rPr>
      </w:pPr>
      <w:r>
        <w:rPr>
          <w:rFonts w:hint="eastAsia" w:ascii="仿宋_GB2312" w:hAnsi="Times New Roman" w:eastAsia="仿宋_GB2312" w:cs="Times New Roman"/>
          <w:sz w:val="32"/>
          <w:szCs w:val="32"/>
        </w:rPr>
        <w:t>绩效目标：开展中山国文化传承与保护工作，将悠久的历史传统文化保护与传承纳入全县党委、政府的规划之中，经费列入财政预算，职能部门尽职尽责，使文化遗产保护工作得到有组织、有计划、有目的地开展。认真把中山国悠久的传统文化的传承与保护工作列入重要议事日程，并积极规划实施，充分调动各有关部门的工作积极性和主动性，切实认真组织做好中山国传统文化的传承与保护工作。</w:t>
      </w:r>
    </w:p>
    <w:p>
      <w:pPr>
        <w:spacing w:line="600" w:lineRule="exact"/>
        <w:ind w:firstLine="640" w:firstLineChars="200"/>
        <w:jc w:val="left"/>
        <w:rPr>
          <w:rFonts w:ascii="仿宋_GB2312" w:hAnsi="Times New Roman" w:eastAsia="仿宋_GB2312" w:cs="Times New Roman"/>
          <w:sz w:val="32"/>
          <w:szCs w:val="32"/>
        </w:rPr>
      </w:pPr>
      <w:r>
        <w:rPr>
          <w:rFonts w:hint="eastAsia" w:ascii="仿宋_GB2312" w:hAnsi="Times New Roman" w:eastAsia="仿宋_GB2312" w:cs="Times New Roman"/>
          <w:sz w:val="32"/>
          <w:szCs w:val="32"/>
        </w:rPr>
        <w:t>绩效指标：全县中山国文化保护工作有组织、有计划、有目的地开展，文化保护工作顺利进行，传统文化发扬光大。</w:t>
      </w:r>
      <w:r>
        <w:rPr>
          <w:rFonts w:ascii="仿宋_GB2312" w:hAnsi="Times New Roman" w:eastAsia="仿宋_GB2312" w:cs="Times New Roman"/>
          <w:sz w:val="32"/>
          <w:szCs w:val="32"/>
        </w:rPr>
        <w:t xml:space="preserve">   </w:t>
      </w:r>
    </w:p>
    <w:p>
      <w:pPr>
        <w:spacing w:line="600" w:lineRule="exact"/>
        <w:ind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2</w:t>
      </w:r>
      <w:r>
        <w:rPr>
          <w:rFonts w:hint="eastAsia" w:ascii="仿宋_GB2312" w:hAnsi="Times New Roman" w:eastAsia="仿宋_GB2312" w:cs="Times New Roman"/>
          <w:sz w:val="32"/>
          <w:szCs w:val="32"/>
        </w:rPr>
        <w:t>．中山国文化开发工作做大做强</w:t>
      </w:r>
    </w:p>
    <w:p>
      <w:pPr>
        <w:spacing w:line="600" w:lineRule="exact"/>
        <w:ind w:firstLine="640" w:firstLineChars="200"/>
        <w:jc w:val="left"/>
        <w:rPr>
          <w:rFonts w:ascii="仿宋_GB2312" w:hAnsi="Times New Roman" w:eastAsia="仿宋_GB2312" w:cs="Times New Roman"/>
          <w:sz w:val="32"/>
          <w:szCs w:val="32"/>
        </w:rPr>
      </w:pPr>
      <w:r>
        <w:rPr>
          <w:rFonts w:hint="eastAsia" w:ascii="仿宋_GB2312" w:hAnsi="Times New Roman" w:eastAsia="仿宋_GB2312" w:cs="Times New Roman"/>
          <w:sz w:val="32"/>
          <w:szCs w:val="32"/>
        </w:rPr>
        <w:t>绩效目标：</w:t>
      </w:r>
      <w:r>
        <w:rPr>
          <w:rFonts w:ascii="仿宋_GB2312" w:hAnsi="Times New Roman" w:eastAsia="仿宋_GB2312" w:cs="Times New Roman"/>
          <w:sz w:val="32"/>
          <w:szCs w:val="32"/>
        </w:rPr>
        <w:t xml:space="preserve"> </w:t>
      </w:r>
      <w:r>
        <w:rPr>
          <w:rFonts w:hint="eastAsia" w:ascii="仿宋_GB2312" w:hAnsi="Times New Roman" w:eastAsia="仿宋_GB2312" w:cs="Times New Roman"/>
          <w:sz w:val="32"/>
          <w:szCs w:val="32"/>
        </w:rPr>
        <w:t>合理开发利用中山国文化遗产，以传承为核心，以产业为纽带，培育一批中山国文化遗产产业市场，实现中山国文化遗产的振兴价值。通过实施中山国文化经济宣传与文化经济政策，吸引社会资本投资与开发中山国文化遗产产业，促进中山国文化遗产产业的发展。积极做好中山国遗址及相关区域的规划建设、土地收储、</w:t>
      </w:r>
      <w:r>
        <w:rPr>
          <w:rFonts w:ascii="仿宋_GB2312" w:hAnsi="Times New Roman" w:eastAsia="仿宋_GB2312" w:cs="Times New Roman"/>
          <w:sz w:val="32"/>
          <w:szCs w:val="32"/>
        </w:rPr>
        <w:t xml:space="preserve"> </w:t>
      </w:r>
      <w:r>
        <w:rPr>
          <w:rFonts w:hint="eastAsia" w:ascii="仿宋_GB2312" w:hAnsi="Times New Roman" w:eastAsia="仿宋_GB2312" w:cs="Times New Roman"/>
          <w:sz w:val="32"/>
          <w:szCs w:val="32"/>
        </w:rPr>
        <w:t>征地拆迁</w:t>
      </w:r>
      <w:r>
        <w:rPr>
          <w:rFonts w:ascii="仿宋_GB2312" w:hAnsi="Times New Roman" w:eastAsia="仿宋_GB2312" w:cs="Times New Roman"/>
          <w:sz w:val="32"/>
          <w:szCs w:val="32"/>
        </w:rPr>
        <w:t xml:space="preserve"> </w:t>
      </w:r>
      <w:r>
        <w:rPr>
          <w:rFonts w:hint="eastAsia" w:ascii="仿宋_GB2312" w:hAnsi="Times New Roman" w:eastAsia="仿宋_GB2312" w:cs="Times New Roman"/>
          <w:sz w:val="32"/>
          <w:szCs w:val="32"/>
        </w:rPr>
        <w:t>、招商引资</w:t>
      </w:r>
      <w:r>
        <w:rPr>
          <w:rFonts w:ascii="仿宋_GB2312" w:hAnsi="Times New Roman" w:eastAsia="仿宋_GB2312" w:cs="Times New Roman"/>
          <w:sz w:val="32"/>
          <w:szCs w:val="32"/>
        </w:rPr>
        <w:t xml:space="preserve"> </w:t>
      </w:r>
      <w:r>
        <w:rPr>
          <w:rFonts w:hint="eastAsia" w:ascii="仿宋_GB2312" w:hAnsi="Times New Roman" w:eastAsia="仿宋_GB2312" w:cs="Times New Roman"/>
          <w:sz w:val="32"/>
          <w:szCs w:val="32"/>
        </w:rPr>
        <w:t>、产业发展，以及重大项目的组织实施，对中山国文化的传承与发展形成良性的互动产业链，通过文化旅游强县，进一步带动灵寿经济的发展。</w:t>
      </w:r>
      <w:r>
        <w:rPr>
          <w:rFonts w:ascii="仿宋_GB2312" w:hAnsi="Times New Roman" w:eastAsia="仿宋_GB2312" w:cs="Times New Roman"/>
          <w:sz w:val="32"/>
          <w:szCs w:val="32"/>
        </w:rPr>
        <w:t xml:space="preserve"> </w:t>
      </w:r>
    </w:p>
    <w:p>
      <w:pPr>
        <w:spacing w:line="600" w:lineRule="exact"/>
        <w:ind w:firstLine="640" w:firstLineChars="200"/>
        <w:jc w:val="left"/>
        <w:rPr>
          <w:rFonts w:ascii="仿宋_GB2312" w:hAnsi="Times New Roman" w:eastAsia="仿宋_GB2312" w:cs="Times New Roman"/>
          <w:sz w:val="32"/>
          <w:szCs w:val="32"/>
        </w:rPr>
      </w:pPr>
      <w:r>
        <w:rPr>
          <w:rFonts w:hint="eastAsia" w:ascii="仿宋_GB2312" w:hAnsi="Times New Roman" w:eastAsia="仿宋_GB2312" w:cs="Times New Roman"/>
          <w:sz w:val="32"/>
          <w:szCs w:val="32"/>
        </w:rPr>
        <w:t>绩效指标：积极做好中山国遗址及相关区域的规划建设、土地收储、</w:t>
      </w:r>
      <w:r>
        <w:rPr>
          <w:rFonts w:ascii="仿宋_GB2312" w:hAnsi="Times New Roman" w:eastAsia="仿宋_GB2312" w:cs="Times New Roman"/>
          <w:sz w:val="32"/>
          <w:szCs w:val="32"/>
        </w:rPr>
        <w:t xml:space="preserve"> </w:t>
      </w:r>
      <w:r>
        <w:rPr>
          <w:rFonts w:hint="eastAsia" w:ascii="仿宋_GB2312" w:hAnsi="Times New Roman" w:eastAsia="仿宋_GB2312" w:cs="Times New Roman"/>
          <w:sz w:val="32"/>
          <w:szCs w:val="32"/>
        </w:rPr>
        <w:t>征地拆迁</w:t>
      </w:r>
      <w:r>
        <w:rPr>
          <w:rFonts w:ascii="仿宋_GB2312" w:hAnsi="Times New Roman" w:eastAsia="仿宋_GB2312" w:cs="Times New Roman"/>
          <w:sz w:val="32"/>
          <w:szCs w:val="32"/>
        </w:rPr>
        <w:t xml:space="preserve"> </w:t>
      </w:r>
      <w:r>
        <w:rPr>
          <w:rFonts w:hint="eastAsia" w:ascii="仿宋_GB2312" w:hAnsi="Times New Roman" w:eastAsia="仿宋_GB2312" w:cs="Times New Roman"/>
          <w:sz w:val="32"/>
          <w:szCs w:val="32"/>
        </w:rPr>
        <w:t>、招商引资</w:t>
      </w:r>
      <w:r>
        <w:rPr>
          <w:rFonts w:ascii="仿宋_GB2312" w:hAnsi="Times New Roman" w:eastAsia="仿宋_GB2312" w:cs="Times New Roman"/>
          <w:sz w:val="32"/>
          <w:szCs w:val="32"/>
        </w:rPr>
        <w:t xml:space="preserve"> </w:t>
      </w:r>
      <w:r>
        <w:rPr>
          <w:rFonts w:hint="eastAsia" w:ascii="仿宋_GB2312" w:hAnsi="Times New Roman" w:eastAsia="仿宋_GB2312" w:cs="Times New Roman"/>
          <w:sz w:val="32"/>
          <w:szCs w:val="32"/>
        </w:rPr>
        <w:t>、产业发展，以及重大项目的组织实施，中山国文化开发工作合理有序进行。</w:t>
      </w:r>
    </w:p>
    <w:p>
      <w:pPr>
        <w:autoSpaceDE w:val="0"/>
        <w:autoSpaceDN w:val="0"/>
        <w:adjustRightInd w:val="0"/>
        <w:spacing w:line="600" w:lineRule="exact"/>
        <w:ind w:firstLine="643" w:firstLineChars="200"/>
        <w:jc w:val="left"/>
        <w:rPr>
          <w:rFonts w:ascii="楷体" w:hAnsi="楷体" w:eastAsia="楷体" w:cs="Times New Roman"/>
          <w:b/>
          <w:sz w:val="32"/>
          <w:szCs w:val="32"/>
        </w:rPr>
      </w:pPr>
      <w:r>
        <w:rPr>
          <w:rFonts w:hint="eastAsia" w:ascii="楷体" w:hAnsi="楷体" w:eastAsia="楷体" w:cs="Times New Roman"/>
          <w:b/>
          <w:sz w:val="32"/>
          <w:szCs w:val="32"/>
        </w:rPr>
        <w:t>（三）工作保障措施</w:t>
      </w:r>
      <w:r>
        <w:rPr>
          <w:rFonts w:ascii="楷体" w:hAnsi="楷体" w:eastAsia="楷体" w:cs="Times New Roman"/>
          <w:b/>
          <w:sz w:val="32"/>
          <w:szCs w:val="32"/>
        </w:rPr>
        <w:fldChar w:fldCharType="begin"/>
      </w:r>
      <w:r>
        <w:rPr>
          <w:rFonts w:ascii="楷体" w:hAnsi="楷体" w:eastAsia="楷体" w:cs="Times New Roman"/>
          <w:b/>
          <w:sz w:val="32"/>
          <w:szCs w:val="32"/>
        </w:rPr>
        <w:instrText xml:space="preserve">tc "</w:instrText>
      </w:r>
      <w:bookmarkStart w:id="2" w:name="_Toc29484630"/>
      <w:r>
        <w:rPr>
          <w:rFonts w:hint="eastAsia" w:ascii="楷体" w:hAnsi="楷体" w:eastAsia="楷体" w:cs="Times New Roman"/>
          <w:b/>
          <w:sz w:val="32"/>
          <w:szCs w:val="32"/>
        </w:rPr>
        <w:instrText xml:space="preserve">工作保障措施</w:instrText>
      </w:r>
      <w:bookmarkEnd w:id="2"/>
      <w:r>
        <w:rPr>
          <w:rFonts w:ascii="楷体" w:hAnsi="楷体" w:eastAsia="楷体" w:cs="Times New Roman"/>
          <w:b/>
          <w:sz w:val="32"/>
          <w:szCs w:val="32"/>
        </w:rPr>
        <w:instrText xml:space="preserve">" \f A \l 001</w:instrText>
      </w:r>
      <w:r>
        <w:rPr>
          <w:rFonts w:ascii="楷体" w:hAnsi="楷体" w:eastAsia="楷体" w:cs="Times New Roman"/>
          <w:b/>
          <w:sz w:val="32"/>
          <w:szCs w:val="32"/>
        </w:rPr>
        <w:fldChar w:fldCharType="end"/>
      </w:r>
    </w:p>
    <w:p>
      <w:pPr>
        <w:spacing w:line="600" w:lineRule="exact"/>
        <w:ind w:firstLine="640" w:firstLineChars="200"/>
        <w:jc w:val="left"/>
        <w:rPr>
          <w:rFonts w:ascii="仿宋_GB2312" w:hAnsi="Times New Roman" w:eastAsia="仿宋_GB2312" w:cs="Times New Roman"/>
          <w:sz w:val="32"/>
          <w:szCs w:val="32"/>
        </w:rPr>
      </w:pPr>
      <w:r>
        <w:rPr>
          <w:rFonts w:hint="eastAsia" w:ascii="仿宋_GB2312" w:hAnsi="Times New Roman" w:eastAsia="仿宋_GB2312" w:cs="Times New Roman"/>
          <w:sz w:val="32"/>
          <w:szCs w:val="32"/>
        </w:rPr>
        <w:t>为实现年度绩效目标采取以下重要措施：</w:t>
      </w:r>
    </w:p>
    <w:p>
      <w:pPr>
        <w:spacing w:line="600" w:lineRule="exact"/>
        <w:ind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1</w:t>
      </w:r>
      <w:r>
        <w:rPr>
          <w:rFonts w:hint="eastAsia" w:ascii="仿宋_GB2312" w:hAnsi="Times New Roman" w:eastAsia="仿宋_GB2312" w:cs="Times New Roman"/>
          <w:sz w:val="32"/>
          <w:szCs w:val="32"/>
        </w:rPr>
        <w:t>．完善制度建设。根据工作实际，制定、完善或加强执行本部门的财务管理制度、经费管理制度，为全年预算绩效目标的实现奠定制度基础。</w:t>
      </w:r>
    </w:p>
    <w:p>
      <w:pPr>
        <w:spacing w:line="600" w:lineRule="exact"/>
        <w:ind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2</w:t>
      </w:r>
      <w:r>
        <w:rPr>
          <w:rFonts w:hint="eastAsia" w:ascii="仿宋_GB2312" w:hAnsi="Times New Roman" w:eastAsia="仿宋_GB2312" w:cs="Times New Roman"/>
          <w:sz w:val="32"/>
          <w:szCs w:val="32"/>
        </w:rPr>
        <w:t>．加强预算绩效管理。年初统筹规划，编实编细项目预算。开展绩效运行监控，加强对重点、难点绩效指标的运行监控，及时梳理分析执行中问题，及时采取措施，保障绩效目标如期顺利完成。开展上年度预算绩效自评和重点评价工作，对评价中发现的问题及时有效整改，不断调整优化支出结构，提高财政资金使用效益。</w:t>
      </w:r>
    </w:p>
    <w:p>
      <w:pPr>
        <w:spacing w:line="600" w:lineRule="exact"/>
        <w:ind w:firstLine="640" w:firstLineChars="200"/>
        <w:jc w:val="left"/>
        <w:rPr>
          <w:rFonts w:ascii="仿宋_GB2312" w:hAnsi="Times New Roman" w:eastAsia="仿宋_GB2312" w:cs="Times New Roman"/>
          <w:sz w:val="32"/>
          <w:szCs w:val="32"/>
        </w:rPr>
      </w:pPr>
      <w:r>
        <w:rPr>
          <w:rFonts w:ascii="仿宋_GB2312" w:hAnsi="Times New Roman" w:eastAsia="仿宋_GB2312" w:cs="Times New Roman"/>
          <w:sz w:val="32"/>
          <w:szCs w:val="32"/>
        </w:rPr>
        <w:t>3</w:t>
      </w:r>
      <w:r>
        <w:rPr>
          <w:rFonts w:hint="eastAsia" w:ascii="仿宋_GB2312" w:hAnsi="Times New Roman" w:eastAsia="仿宋_GB2312" w:cs="Times New Roman"/>
          <w:sz w:val="32"/>
          <w:szCs w:val="32"/>
        </w:rPr>
        <w:t>．加强内部管理和监督。对照县级财政部门最新政策要求，及时完善本部门的财务管理制度。按照制度要求，严格预算资金安排和支出审批程序，加强固定资产登记、使用和报废处置管理。对会计资料进行内部审计，并配合做好审计、财政监督等外部监督工作，保障财政资金安全有效。</w:t>
      </w:r>
    </w:p>
    <w:p>
      <w:pPr>
        <w:spacing w:line="600" w:lineRule="exact"/>
        <w:ind w:firstLine="420" w:firstLineChars="200"/>
        <w:jc w:val="left"/>
        <w:rPr>
          <w:rFonts w:ascii="仿宋_GB2312" w:eastAsia="仿宋_GB2312"/>
        </w:rPr>
      </w:pPr>
    </w:p>
    <w:p>
      <w:pPr>
        <w:autoSpaceDE w:val="0"/>
        <w:autoSpaceDN w:val="0"/>
        <w:adjustRightInd w:val="0"/>
        <w:spacing w:line="600" w:lineRule="exact"/>
        <w:ind w:left="198" w:firstLine="643" w:firstLineChars="200"/>
        <w:jc w:val="left"/>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第二部分</w:t>
      </w:r>
      <w:r>
        <w:rPr>
          <w:rFonts w:ascii="仿宋_GB2312" w:hAnsi="Times New Roman" w:eastAsia="仿宋_GB2312" w:cs="Times New Roman"/>
          <w:b/>
          <w:sz w:val="32"/>
          <w:szCs w:val="32"/>
        </w:rPr>
        <w:t xml:space="preserve">  </w:t>
      </w:r>
      <w:r>
        <w:rPr>
          <w:rFonts w:hint="eastAsia" w:ascii="仿宋_GB2312" w:hAnsi="Times New Roman" w:eastAsia="仿宋_GB2312" w:cs="Times New Roman"/>
          <w:b/>
          <w:sz w:val="32"/>
          <w:szCs w:val="32"/>
        </w:rPr>
        <w:t>预算项目绩效目标</w:t>
      </w:r>
    </w:p>
    <w:p>
      <w:pPr>
        <w:spacing w:line="600" w:lineRule="exact"/>
        <w:ind w:firstLine="800" w:firstLineChars="250"/>
        <w:jc w:val="left"/>
        <w:rPr>
          <w:rFonts w:ascii="仿宋_GB2312" w:hAnsi="Times New Roman" w:eastAsia="仿宋_GB2312" w:cs="Times New Roman"/>
          <w:sz w:val="32"/>
          <w:szCs w:val="32"/>
        </w:rPr>
      </w:pPr>
      <w:r>
        <w:rPr>
          <w:rFonts w:ascii="仿宋_GB2312" w:hAnsi="Times New Roman" w:eastAsia="仿宋_GB2312" w:cs="Times New Roman"/>
          <w:sz w:val="32"/>
          <w:szCs w:val="32"/>
        </w:rPr>
        <w:t>2020</w:t>
      </w:r>
      <w:r>
        <w:rPr>
          <w:rFonts w:hint="eastAsia" w:ascii="仿宋_GB2312" w:hAnsi="Times New Roman" w:eastAsia="仿宋_GB2312" w:cs="Times New Roman"/>
          <w:sz w:val="32"/>
          <w:szCs w:val="32"/>
        </w:rPr>
        <w:t>年，我部门无安排项目。</w:t>
      </w:r>
    </w:p>
    <w:p>
      <w:pPr>
        <w:spacing w:line="600" w:lineRule="exact"/>
        <w:ind w:firstLine="640" w:firstLineChars="200"/>
        <w:jc w:val="left"/>
        <w:rPr>
          <w:rFonts w:ascii="仿宋_GB2312" w:hAnsi="Times New Roman" w:eastAsia="仿宋_GB2312" w:cs="Times New Roman"/>
          <w:sz w:val="32"/>
          <w:szCs w:val="32"/>
        </w:rPr>
      </w:pPr>
    </w:p>
    <w:p>
      <w:pPr>
        <w:spacing w:line="300" w:lineRule="exact"/>
        <w:ind w:firstLine="640" w:firstLineChars="200"/>
        <w:jc w:val="left"/>
        <w:rPr>
          <w:rFonts w:ascii="Times New Roman" w:hAnsi="Times New Roman" w:eastAsia="仿宋" w:cs="Times New Roman"/>
          <w:sz w:val="32"/>
          <w:szCs w:val="32"/>
        </w:rPr>
        <w:sectPr>
          <w:footerReference r:id="rId3" w:type="default"/>
          <w:pgSz w:w="11907" w:h="16839" w:orient="landscape"/>
          <w:pgMar w:top="1984" w:right="1304" w:bottom="1134" w:left="1304" w:header="851" w:footer="992" w:gutter="0"/>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仿宋_GB2312" w:hAnsi="Times New Roman" w:eastAsia="仿宋_GB2312" w:cs="Times New Roman"/>
          <w:sz w:val="32"/>
          <w:szCs w:val="24"/>
        </w:rPr>
      </w:pPr>
      <w:bookmarkStart w:id="3" w:name="_Toc471398468"/>
      <w:r>
        <w:rPr>
          <w:rFonts w:ascii="Times New Roman" w:hAnsi="Times New Roman" w:eastAsia="仿宋" w:cs="Times New Roman"/>
          <w:sz w:val="32"/>
          <w:szCs w:val="24"/>
        </w:rPr>
        <w:t xml:space="preserve"> </w:t>
      </w:r>
      <w:r>
        <w:rPr>
          <w:rFonts w:ascii="仿宋_GB2312" w:hAnsi="Times New Roman" w:eastAsia="仿宋_GB2312" w:cs="Times New Roman"/>
          <w:sz w:val="32"/>
          <w:szCs w:val="24"/>
        </w:rPr>
        <w:t>2020</w:t>
      </w:r>
      <w:r>
        <w:rPr>
          <w:rFonts w:hint="eastAsia" w:ascii="仿宋_GB2312" w:hAnsi="Times New Roman" w:eastAsia="仿宋_GB2312" w:cs="Times New Roman"/>
          <w:sz w:val="32"/>
          <w:szCs w:val="24"/>
        </w:rPr>
        <w:t>年，我部门安排政府采购预算</w:t>
      </w:r>
      <w:r>
        <w:rPr>
          <w:rFonts w:ascii="仿宋_GB2312" w:hAnsi="Times New Roman" w:eastAsia="仿宋_GB2312" w:cs="Times New Roman"/>
          <w:sz w:val="32"/>
          <w:szCs w:val="24"/>
        </w:rPr>
        <w:t>0</w:t>
      </w:r>
      <w:r>
        <w:rPr>
          <w:rFonts w:hint="eastAsia" w:ascii="仿宋_GB2312" w:hAnsi="Times New Roman" w:eastAsia="仿宋_GB2312" w:cs="Times New Roman"/>
          <w:sz w:val="32"/>
          <w:szCs w:val="24"/>
        </w:rPr>
        <w:t>万元，空表列示。具体内容见下表。</w:t>
      </w:r>
      <w:bookmarkEnd w:id="3"/>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rPr>
          <w:rFonts w:ascii="方正小标宋_GBK" w:eastAsia="方正小标宋_GBK"/>
          <w:sz w:val="32"/>
        </w:rPr>
        <w:fldChar w:fldCharType="begin"/>
      </w:r>
      <w:r>
        <w:rPr>
          <w:rFonts w:ascii="方正小标宋_GBK" w:eastAsia="方正小标宋_GBK"/>
          <w:sz w:val="32"/>
        </w:rPr>
        <w:instrText xml:space="preserve">tc "</w:instrText>
      </w:r>
      <w:bookmarkStart w:id="4" w:name="_Toc28848395"/>
      <w:r>
        <w:rPr>
          <w:rFonts w:hint="eastAsia" w:ascii="方正小标宋_GBK" w:eastAsia="方正小标宋_GBK"/>
          <w:sz w:val="32"/>
        </w:rPr>
        <w:instrText xml:space="preserve">部门政府采购预算</w:instrText>
      </w:r>
      <w:bookmarkEnd w:id="4"/>
      <w:r>
        <w:rPr>
          <w:rFonts w:ascii="方正小标宋_GBK" w:eastAsia="方正小标宋_GBK"/>
          <w:sz w:val="32"/>
        </w:rPr>
        <w:instrText xml:space="preserve">" \f A \l 001</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书宋_GBK" w:eastAsia="方正书宋_GBK"/>
                <w:sz w:val="24"/>
              </w:rPr>
              <w:t>295</w:t>
            </w:r>
            <w:r>
              <w:rPr>
                <w:rFonts w:hint="eastAsia" w:ascii="方正书宋_GBK" w:eastAsia="方正书宋_GBK"/>
                <w:sz w:val="24"/>
              </w:rPr>
              <w:t>灵寿县中山国文化保护开发中心</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仿宋_GB2312" w:hAnsi="Times New Roman" w:eastAsia="仿宋_GB2312" w:cs="Times New Roman"/>
          <w:color w:val="000000"/>
          <w:sz w:val="32"/>
          <w:szCs w:val="32"/>
        </w:rPr>
      </w:pPr>
      <w:r>
        <w:rPr>
          <w:rFonts w:hint="eastAsia" w:ascii="仿宋_GB2312" w:hAnsi="Times New Roman" w:eastAsia="仿宋_GB2312" w:cs="Times New Roman"/>
          <w:sz w:val="32"/>
          <w:szCs w:val="32"/>
        </w:rPr>
        <w:t>灵寿县中山国文化保护开发中心</w:t>
      </w:r>
      <w:r>
        <w:rPr>
          <w:rFonts w:ascii="仿宋_GB2312" w:hAnsi="Times New Roman" w:eastAsia="仿宋_GB2312" w:cs="Times New Roman"/>
          <w:color w:val="000000"/>
          <w:sz w:val="32"/>
          <w:szCs w:val="32"/>
        </w:rPr>
        <w:t>2019</w:t>
      </w:r>
      <w:r>
        <w:rPr>
          <w:rFonts w:hint="eastAsia" w:ascii="仿宋_GB2312" w:hAnsi="Times New Roman" w:eastAsia="仿宋_GB2312" w:cs="Times New Roman"/>
          <w:color w:val="000000"/>
          <w:sz w:val="32"/>
          <w:szCs w:val="32"/>
        </w:rPr>
        <w:t>年末固定资产金额为</w:t>
      </w:r>
      <w:r>
        <w:rPr>
          <w:rFonts w:ascii="仿宋_GB2312" w:hAnsi="Times New Roman" w:eastAsia="仿宋_GB2312" w:cs="Times New Roman"/>
          <w:color w:val="000000"/>
          <w:sz w:val="32"/>
          <w:szCs w:val="32"/>
        </w:rPr>
        <w:t>0</w:t>
      </w:r>
      <w:r>
        <w:rPr>
          <w:rFonts w:hint="eastAsia" w:ascii="仿宋_GB2312" w:hAnsi="Times New Roman" w:eastAsia="仿宋_GB2312" w:cs="Times New Roman"/>
          <w:color w:val="000000"/>
          <w:sz w:val="32"/>
          <w:szCs w:val="32"/>
        </w:rPr>
        <w:t>万元（详见下表），本年度拟购置固定资产总额为</w:t>
      </w:r>
      <w:r>
        <w:rPr>
          <w:rFonts w:ascii="仿宋_GB2312" w:hAnsi="Times New Roman" w:eastAsia="仿宋_GB2312" w:cs="Times New Roman"/>
          <w:color w:val="000000"/>
          <w:sz w:val="32"/>
          <w:szCs w:val="32"/>
        </w:rPr>
        <w:t>0</w:t>
      </w:r>
      <w:r>
        <w:rPr>
          <w:rFonts w:hint="eastAsia" w:ascii="仿宋_GB2312" w:hAnsi="Times New Roman" w:eastAsia="仿宋_GB2312" w:cs="Times New Roman"/>
          <w:color w:val="000000"/>
          <w:sz w:val="32"/>
          <w:szCs w:val="32"/>
        </w:rPr>
        <w:t>万元。</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宋体"/>
                <w:b/>
                <w:bCs/>
                <w:kern w:val="0"/>
                <w:sz w:val="32"/>
                <w:szCs w:val="32"/>
              </w:rPr>
            </w:pPr>
          </w:p>
          <w:p>
            <w:pPr>
              <w:widowControl/>
              <w:jc w:val="center"/>
              <w:rPr>
                <w:rFonts w:ascii="宋体" w:cs="宋体"/>
                <w:b/>
                <w:bCs/>
                <w:kern w:val="0"/>
                <w:sz w:val="32"/>
                <w:szCs w:val="32"/>
              </w:rPr>
            </w:pPr>
          </w:p>
          <w:p>
            <w:pPr>
              <w:widowControl/>
              <w:jc w:val="center"/>
              <w:rPr>
                <w:rFonts w:ascii="宋体" w:cs="宋体"/>
                <w:b/>
                <w:bCs/>
                <w:kern w:val="0"/>
                <w:sz w:val="32"/>
                <w:szCs w:val="32"/>
              </w:rPr>
            </w:pPr>
            <w:r>
              <w:rPr>
                <w:rFonts w:hint="eastAsia" w:ascii="宋体" w:hAnsi="宋体" w:cs="宋体"/>
                <w:b/>
                <w:bCs/>
                <w:kern w:val="0"/>
                <w:sz w:val="32"/>
                <w:szCs w:val="32"/>
              </w:rPr>
              <w:t>灵寿县中山国文化保护开发中心固定资产占用情况表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编制部门：灵寿县中山国文化保护开发中心</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ascii="Times New Roman" w:hAnsi="Times New Roman" w:eastAsia="仿宋" w:cs="Times New Roman"/>
                <w:kern w:val="0"/>
                <w:sz w:val="22"/>
              </w:rPr>
              <w:t>2019</w:t>
            </w:r>
            <w:r>
              <w:rPr>
                <w:rFonts w:hint="eastAsia" w:ascii="Times New Roman" w:hAnsi="Times New Roman" w:eastAsia="仿宋" w:cs="Times New Roman"/>
                <w:kern w:val="0"/>
                <w:sz w:val="22"/>
              </w:rPr>
              <w:t>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、单价在</w:t>
            </w:r>
            <w:r>
              <w:rPr>
                <w:rFonts w:ascii="Times New Roman" w:hAnsi="Times New Roman" w:eastAsia="仿宋" w:cs="Times New Roman"/>
                <w:kern w:val="0"/>
                <w:sz w:val="22"/>
              </w:rPr>
              <w:t>20</w:t>
            </w:r>
            <w:r>
              <w:rPr>
                <w:rFonts w:hint="eastAsia" w:ascii="Times New Roman" w:hAnsi="Times New Roman" w:eastAsia="仿宋" w:cs="Times New Roman"/>
                <w:kern w:val="0"/>
                <w:sz w:val="22"/>
              </w:rPr>
              <w:t>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spacing w:line="600" w:lineRule="exact"/>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1</w:t>
      </w:r>
      <w:r>
        <w:rPr>
          <w:rFonts w:hint="eastAsia" w:ascii="仿宋_GB2312" w:hAnsi="Times New Roman" w:eastAsia="仿宋_GB2312" w:cs="Times New Roman"/>
          <w:sz w:val="32"/>
          <w:szCs w:val="32"/>
        </w:rPr>
        <w:t>、一般公共预算拨款收入：指县级财政当年拨付的资金。</w:t>
      </w:r>
    </w:p>
    <w:p>
      <w:pPr>
        <w:spacing w:line="600" w:lineRule="exact"/>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2</w:t>
      </w:r>
      <w:r>
        <w:rPr>
          <w:rFonts w:hint="eastAsia" w:ascii="仿宋_GB2312" w:hAnsi="Times New Roman" w:eastAsia="仿宋_GB2312" w:cs="Times New Roman"/>
          <w:sz w:val="32"/>
          <w:szCs w:val="32"/>
        </w:rPr>
        <w:t>、事业收入：指事业单位开展专业业务活动及辅助活动所取得的收入。</w:t>
      </w:r>
    </w:p>
    <w:p>
      <w:pPr>
        <w:spacing w:line="600" w:lineRule="exact"/>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3</w:t>
      </w:r>
      <w:r>
        <w:rPr>
          <w:rFonts w:hint="eastAsia" w:ascii="仿宋_GB2312" w:hAnsi="Times New Roman" w:eastAsia="仿宋_GB2312" w:cs="Times New Roman"/>
          <w:sz w:val="32"/>
          <w:szCs w:val="32"/>
        </w:rPr>
        <w:t>、其他收入：指除“一般公共预算拨款收入”、“事业收入”等以外的收入。主要是按规定动用的租房收入、存款利息收入等。</w:t>
      </w:r>
    </w:p>
    <w:p>
      <w:pPr>
        <w:spacing w:line="600" w:lineRule="exact"/>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4</w:t>
      </w:r>
      <w:r>
        <w:rPr>
          <w:rFonts w:hint="eastAsia" w:ascii="仿宋_GB2312" w:hAnsi="Times New Roman" w:eastAsia="仿宋_GB2312" w:cs="Times New Roman"/>
          <w:sz w:val="32"/>
          <w:szCs w:val="32"/>
        </w:rPr>
        <w:t>、基本支出：指为保障机构正常运转、完成日常工作任务而发生的人员支出和公用支出。</w:t>
      </w:r>
    </w:p>
    <w:p>
      <w:pPr>
        <w:spacing w:line="600" w:lineRule="exact"/>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5</w:t>
      </w:r>
      <w:r>
        <w:rPr>
          <w:rFonts w:hint="eastAsia" w:ascii="仿宋_GB2312" w:hAnsi="Times New Roman" w:eastAsia="仿宋_GB2312" w:cs="Times New Roman"/>
          <w:sz w:val="32"/>
          <w:szCs w:val="32"/>
        </w:rPr>
        <w:t>、项目支出：指在基本支出之外为完成特定行政任务和事业发展目标所发生的支出。</w:t>
      </w:r>
    </w:p>
    <w:p>
      <w:pPr>
        <w:spacing w:line="600" w:lineRule="exact"/>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6</w:t>
      </w:r>
      <w:r>
        <w:rPr>
          <w:rFonts w:hint="eastAsia" w:ascii="仿宋_GB2312" w:hAnsi="Times New Roman" w:eastAsia="仿宋_GB2312" w:cs="Times New Roman"/>
          <w:sz w:val="32"/>
          <w:szCs w:val="32"/>
        </w:rPr>
        <w:t>、上缴上级支出：指下级单位上缴上级的支出。</w:t>
      </w:r>
    </w:p>
    <w:p>
      <w:pPr>
        <w:spacing w:line="600" w:lineRule="exact"/>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7</w:t>
      </w:r>
      <w:r>
        <w:rPr>
          <w:rFonts w:hint="eastAsia" w:ascii="仿宋_GB2312" w:hAnsi="Times New Roman" w:eastAsia="仿宋_GB2312" w:cs="Times New Roman"/>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600" w:lineRule="exact"/>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8</w:t>
      </w:r>
      <w:r>
        <w:rPr>
          <w:rFonts w:hint="eastAsia" w:ascii="仿宋_GB2312" w:hAnsi="Times New Roman" w:eastAsia="仿宋_GB2312" w:cs="Times New Roman"/>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600" w:lineRule="exact"/>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9</w:t>
      </w:r>
      <w:r>
        <w:rPr>
          <w:rFonts w:hint="eastAsia" w:ascii="仿宋_GB2312" w:hAnsi="Times New Roman" w:eastAsia="仿宋_GB2312" w:cs="Times New Roman"/>
          <w:sz w:val="32"/>
          <w:szCs w:val="32"/>
        </w:rPr>
        <w:t>、上年结转：指以前年度尚未完成、结转到本年仍按原规定用途继续使用的资金。</w:t>
      </w:r>
    </w:p>
    <w:p>
      <w:pPr>
        <w:spacing w:line="600" w:lineRule="exact"/>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10</w:t>
      </w:r>
      <w:r>
        <w:rPr>
          <w:rFonts w:hint="eastAsia" w:ascii="仿宋_GB2312" w:hAnsi="Times New Roman" w:eastAsia="仿宋_GB2312" w:cs="Times New Roman"/>
          <w:sz w:val="32"/>
          <w:szCs w:val="32"/>
        </w:rPr>
        <w:t>、事业单位经营支出：指事业单位在专业业务活动及其辅助活动之外开展非独立核算经营活动发生的支出。</w:t>
      </w:r>
    </w:p>
    <w:p>
      <w:pPr>
        <w:spacing w:line="600" w:lineRule="exact"/>
        <w:ind w:firstLine="640" w:firstLineChars="200"/>
        <w:rPr>
          <w:rFonts w:ascii="黑体" w:hAnsi="黑体" w:eastAsia="黑体" w:cs="宋体-方正超大字符集"/>
          <w:bCs/>
          <w:sz w:val="32"/>
          <w:szCs w:val="32"/>
        </w:rPr>
      </w:pPr>
      <w:r>
        <w:rPr>
          <w:rFonts w:hint="eastAsia" w:ascii="黑体" w:hAnsi="黑体" w:eastAsia="黑体" w:cs="宋体-方正超大字符集"/>
          <w:bCs/>
          <w:sz w:val="32"/>
          <w:szCs w:val="32"/>
        </w:rPr>
        <w:t>九、其他需要说明的事项</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rPr>
        <w:rStyle w:val="14"/>
      </w:rPr>
      <w:fldChar w:fldCharType="begin"/>
    </w:r>
    <w:r>
      <w:rPr>
        <w:rStyle w:val="14"/>
      </w:rPr>
      <w:instrText xml:space="preserve">PAGE  </w:instrText>
    </w:r>
    <w:r>
      <w:rPr>
        <w:rStyle w:val="14"/>
      </w:rPr>
      <w:fldChar w:fldCharType="separate"/>
    </w:r>
    <w:r>
      <w:rPr>
        <w:rStyle w:val="14"/>
      </w:rPr>
      <w:t>4</w:t>
    </w:r>
    <w:r>
      <w:rPr>
        <w:rStyle w:val="14"/>
      </w:rP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rPr>
        <w:rStyle w:val="14"/>
      </w:rPr>
      <w:fldChar w:fldCharType="begin"/>
    </w:r>
    <w:r>
      <w:rPr>
        <w:rStyle w:val="14"/>
      </w:rPr>
      <w:instrText xml:space="preserve">PAGE  </w:instrText>
    </w:r>
    <w:r>
      <w:rPr>
        <w:rStyle w:val="14"/>
      </w:rPr>
      <w:fldChar w:fldCharType="separate"/>
    </w:r>
    <w:r>
      <w:rPr>
        <w:rStyle w:val="14"/>
      </w:rPr>
      <w:t>6</w:t>
    </w:r>
    <w:r>
      <w:rPr>
        <w:rStyle w:val="14"/>
      </w:rP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CB3260F"/>
    <w:multiLevelType w:val="multilevel"/>
    <w:tmpl w:val="4CB3260F"/>
    <w:lvl w:ilvl="0" w:tentative="0">
      <w:start w:val="1"/>
      <w:numFmt w:val="japaneseCounting"/>
      <w:lvlText w:val="（%1）"/>
      <w:lvlJc w:val="left"/>
      <w:pPr>
        <w:ind w:left="1720" w:hanging="1080"/>
      </w:pPr>
      <w:rPr>
        <w:rFonts w:hint="default" w:cs="Times New Roman"/>
      </w:rPr>
    </w:lvl>
    <w:lvl w:ilvl="1" w:tentative="0">
      <w:start w:val="1"/>
      <w:numFmt w:val="lowerLetter"/>
      <w:lvlText w:val="%2)"/>
      <w:lvlJc w:val="left"/>
      <w:pPr>
        <w:ind w:left="1480" w:hanging="420"/>
      </w:pPr>
      <w:rPr>
        <w:rFonts w:cs="Times New Roman"/>
      </w:rPr>
    </w:lvl>
    <w:lvl w:ilvl="2" w:tentative="0">
      <w:start w:val="1"/>
      <w:numFmt w:val="lowerRoman"/>
      <w:lvlText w:val="%3."/>
      <w:lvlJc w:val="right"/>
      <w:pPr>
        <w:ind w:left="1900" w:hanging="420"/>
      </w:pPr>
      <w:rPr>
        <w:rFonts w:cs="Times New Roman"/>
      </w:rPr>
    </w:lvl>
    <w:lvl w:ilvl="3" w:tentative="0">
      <w:start w:val="1"/>
      <w:numFmt w:val="decimal"/>
      <w:lvlText w:val="%4."/>
      <w:lvlJc w:val="left"/>
      <w:pPr>
        <w:ind w:left="2320" w:hanging="420"/>
      </w:pPr>
      <w:rPr>
        <w:rFonts w:cs="Times New Roman"/>
      </w:rPr>
    </w:lvl>
    <w:lvl w:ilvl="4" w:tentative="0">
      <w:start w:val="1"/>
      <w:numFmt w:val="lowerLetter"/>
      <w:lvlText w:val="%5)"/>
      <w:lvlJc w:val="left"/>
      <w:pPr>
        <w:ind w:left="2740" w:hanging="420"/>
      </w:pPr>
      <w:rPr>
        <w:rFonts w:cs="Times New Roman"/>
      </w:rPr>
    </w:lvl>
    <w:lvl w:ilvl="5" w:tentative="0">
      <w:start w:val="1"/>
      <w:numFmt w:val="lowerRoman"/>
      <w:lvlText w:val="%6."/>
      <w:lvlJc w:val="right"/>
      <w:pPr>
        <w:ind w:left="3160" w:hanging="420"/>
      </w:pPr>
      <w:rPr>
        <w:rFonts w:cs="Times New Roman"/>
      </w:rPr>
    </w:lvl>
    <w:lvl w:ilvl="6" w:tentative="0">
      <w:start w:val="1"/>
      <w:numFmt w:val="decimal"/>
      <w:lvlText w:val="%7."/>
      <w:lvlJc w:val="left"/>
      <w:pPr>
        <w:ind w:left="3580" w:hanging="420"/>
      </w:pPr>
      <w:rPr>
        <w:rFonts w:cs="Times New Roman"/>
      </w:rPr>
    </w:lvl>
    <w:lvl w:ilvl="7" w:tentative="0">
      <w:start w:val="1"/>
      <w:numFmt w:val="lowerLetter"/>
      <w:lvlText w:val="%8)"/>
      <w:lvlJc w:val="left"/>
      <w:pPr>
        <w:ind w:left="4000" w:hanging="420"/>
      </w:pPr>
      <w:rPr>
        <w:rFonts w:cs="Times New Roman"/>
      </w:rPr>
    </w:lvl>
    <w:lvl w:ilvl="8" w:tentative="0">
      <w:start w:val="1"/>
      <w:numFmt w:val="lowerRoman"/>
      <w:lvlText w:val="%9."/>
      <w:lvlJc w:val="right"/>
      <w:pPr>
        <w:ind w:left="442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GI0OWFiMDBlMGZjNDc2MDIxY2RmYTI2NmYxZmNjNmQifQ=="/>
  </w:docVars>
  <w:rsids>
    <w:rsidRoot w:val="00EE71BA"/>
    <w:rsid w:val="000458F4"/>
    <w:rsid w:val="0007419A"/>
    <w:rsid w:val="000B169A"/>
    <w:rsid w:val="000C7140"/>
    <w:rsid w:val="00226C4D"/>
    <w:rsid w:val="002D78CA"/>
    <w:rsid w:val="003011B2"/>
    <w:rsid w:val="00323B29"/>
    <w:rsid w:val="00324D1F"/>
    <w:rsid w:val="00355EF9"/>
    <w:rsid w:val="0039059E"/>
    <w:rsid w:val="003B37F4"/>
    <w:rsid w:val="004024BE"/>
    <w:rsid w:val="00402AAB"/>
    <w:rsid w:val="0041366E"/>
    <w:rsid w:val="004B2127"/>
    <w:rsid w:val="004C7976"/>
    <w:rsid w:val="00567E48"/>
    <w:rsid w:val="005A415A"/>
    <w:rsid w:val="00663693"/>
    <w:rsid w:val="0069234A"/>
    <w:rsid w:val="00706822"/>
    <w:rsid w:val="00730E49"/>
    <w:rsid w:val="007E10A3"/>
    <w:rsid w:val="007F0341"/>
    <w:rsid w:val="008678F7"/>
    <w:rsid w:val="009A521C"/>
    <w:rsid w:val="009E1F2F"/>
    <w:rsid w:val="00A019E9"/>
    <w:rsid w:val="00A71E33"/>
    <w:rsid w:val="00A97C5F"/>
    <w:rsid w:val="00AF242E"/>
    <w:rsid w:val="00B76EC4"/>
    <w:rsid w:val="00BC4C93"/>
    <w:rsid w:val="00C27A4E"/>
    <w:rsid w:val="00C32E68"/>
    <w:rsid w:val="00C3394B"/>
    <w:rsid w:val="00C748C5"/>
    <w:rsid w:val="00C84C19"/>
    <w:rsid w:val="00D607DA"/>
    <w:rsid w:val="00D657B7"/>
    <w:rsid w:val="00DC6EE5"/>
    <w:rsid w:val="00E013CE"/>
    <w:rsid w:val="00E2111E"/>
    <w:rsid w:val="00E73D9E"/>
    <w:rsid w:val="00EB0224"/>
    <w:rsid w:val="00EB41F1"/>
    <w:rsid w:val="00EB6CB0"/>
    <w:rsid w:val="00ED1C3A"/>
    <w:rsid w:val="00EE71BA"/>
    <w:rsid w:val="00F06124"/>
    <w:rsid w:val="00F63E65"/>
    <w:rsid w:val="00F672EC"/>
    <w:rsid w:val="00F8237A"/>
    <w:rsid w:val="00F867E4"/>
    <w:rsid w:val="00FF44D6"/>
    <w:rsid w:val="056D17C0"/>
    <w:rsid w:val="13443134"/>
    <w:rsid w:val="318021EB"/>
    <w:rsid w:val="44593C90"/>
    <w:rsid w:val="4DBB6C45"/>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nhideWhenUsed="0" w:uiPriority="99" w:semiHidden="0"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nhideWhenUsed="0"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autoRedefine/>
    <w:qFormat/>
    <w:uiPriority w:val="99"/>
    <w:rPr>
      <w:rFonts w:ascii="Times New Roman" w:hAnsi="Times New Roman" w:cs="Times New Roman"/>
      <w:szCs w:val="24"/>
    </w:rPr>
  </w:style>
  <w:style w:type="paragraph" w:styleId="5">
    <w:name w:val="footnote text"/>
    <w:basedOn w:val="1"/>
    <w:link w:val="12"/>
    <w:uiPriority w:val="99"/>
    <w:pPr>
      <w:snapToGrid w:val="0"/>
      <w:jc w:val="left"/>
    </w:pPr>
    <w:rPr>
      <w:sz w:val="18"/>
      <w:szCs w:val="18"/>
    </w:rPr>
  </w:style>
  <w:style w:type="paragraph" w:styleId="6">
    <w:name w:val="toc 2"/>
    <w:basedOn w:val="1"/>
    <w:next w:val="1"/>
    <w:autoRedefine/>
    <w:uiPriority w:val="99"/>
    <w:pPr>
      <w:ind w:left="420" w:leftChars="200"/>
    </w:pPr>
    <w:rPr>
      <w:rFonts w:ascii="Times New Roman" w:hAnsi="Times New Roman" w:cs="Times New Roman"/>
      <w:szCs w:val="24"/>
    </w:rPr>
  </w:style>
  <w:style w:type="character" w:styleId="9">
    <w:name w:val="footnote reference"/>
    <w:basedOn w:val="8"/>
    <w:uiPriority w:val="99"/>
    <w:rPr>
      <w:rFonts w:cs="Times New Roman"/>
      <w:vertAlign w:val="superscript"/>
    </w:rPr>
  </w:style>
  <w:style w:type="character" w:customStyle="1" w:styleId="10">
    <w:name w:val="Footer Char"/>
    <w:basedOn w:val="8"/>
    <w:link w:val="2"/>
    <w:semiHidden/>
    <w:locked/>
    <w:uiPriority w:val="99"/>
    <w:rPr>
      <w:rFonts w:ascii="Times New Roman" w:hAnsi="Times New Roman" w:eastAsia="宋体" w:cs="Times New Roman"/>
      <w:sz w:val="18"/>
    </w:rPr>
  </w:style>
  <w:style w:type="character" w:customStyle="1" w:styleId="11">
    <w:name w:val="Header Char"/>
    <w:basedOn w:val="8"/>
    <w:link w:val="3"/>
    <w:semiHidden/>
    <w:locked/>
    <w:uiPriority w:val="99"/>
    <w:rPr>
      <w:rFonts w:ascii="Times New Roman" w:hAnsi="Times New Roman" w:eastAsia="宋体" w:cs="Times New Roman"/>
      <w:sz w:val="18"/>
    </w:rPr>
  </w:style>
  <w:style w:type="character" w:customStyle="1" w:styleId="12">
    <w:name w:val="Footnote Text Char"/>
    <w:basedOn w:val="8"/>
    <w:link w:val="5"/>
    <w:semiHidden/>
    <w:locked/>
    <w:uiPriority w:val="99"/>
    <w:rPr>
      <w:rFonts w:ascii="Calibri" w:hAnsi="Calibri" w:cs="黑体"/>
      <w:sz w:val="18"/>
      <w:szCs w:val="18"/>
    </w:rPr>
  </w:style>
  <w:style w:type="paragraph" w:customStyle="1" w:styleId="13">
    <w:name w:val="Char"/>
    <w:basedOn w:val="1"/>
    <w:uiPriority w:val="99"/>
    <w:rPr>
      <w:rFonts w:ascii="Times New Roman" w:hAnsi="Times New Roman" w:cs="Times New Roman"/>
      <w:szCs w:val="24"/>
    </w:rPr>
  </w:style>
  <w:style w:type="character" w:customStyle="1" w:styleId="14">
    <w:name w:val="页码1"/>
    <w:autoRedefine/>
    <w:qFormat/>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Microsoft</Company>
  <Pages>9</Pages>
  <Words>522</Words>
  <Characters>2979</Characters>
  <Lines>0</Lines>
  <Paragraphs>0</Paragraphs>
  <TotalTime>90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徐佳</cp:lastModifiedBy>
  <cp:lastPrinted>2020-01-10T15:53:00Z</cp:lastPrinted>
  <dcterms:modified xsi:type="dcterms:W3CDTF">2024-01-15T07:27:44Z</dcterms:modified>
  <dc:title>o</dc:title>
  <cp:revision>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34A993AC771040A88D2D0E4EB69D9AB1_12</vt:lpwstr>
  </property>
</Properties>
</file>