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宋体" w:cs="Times New Roman"/>
          <w:sz w:val="44"/>
          <w:szCs w:val="44"/>
        </w:rPr>
      </w:pPr>
      <w:r>
        <w:rPr>
          <w:rFonts w:hint="eastAsia" w:ascii="宋体" w:hAnsi="宋体" w:cs="方正小标宋_GBK"/>
          <w:sz w:val="44"/>
          <w:szCs w:val="44"/>
        </w:rPr>
        <w:t>灵寿县三圣院乡人民政府</w:t>
      </w:r>
    </w:p>
    <w:p>
      <w:pPr>
        <w:adjustRightInd w:val="0"/>
        <w:snapToGrid w:val="0"/>
        <w:jc w:val="center"/>
        <w:rPr>
          <w:rFonts w:ascii="宋体" w:cs="Times New Roman"/>
          <w:sz w:val="44"/>
          <w:szCs w:val="44"/>
        </w:rPr>
      </w:pPr>
      <w:r>
        <w:rPr>
          <w:rFonts w:ascii="宋体" w:hAnsi="宋体" w:cs="方正小标宋_GBK"/>
          <w:sz w:val="44"/>
          <w:szCs w:val="44"/>
        </w:rPr>
        <w:t>2020</w:t>
      </w:r>
      <w:r>
        <w:rPr>
          <w:rFonts w:hint="eastAsia" w:ascii="宋体" w:hAnsi="宋体" w:cs="方正小标宋_GBK"/>
          <w:sz w:val="44"/>
          <w:szCs w:val="44"/>
        </w:rPr>
        <w:t>年部门预算信息公开情况说明</w:t>
      </w:r>
    </w:p>
    <w:p>
      <w:pPr>
        <w:ind w:firstLine="640"/>
        <w:rPr>
          <w:rFonts w:ascii="Times New Roman" w:hAnsi="Times New Roman" w:cs="Times New Roman"/>
          <w:sz w:val="32"/>
          <w:szCs w:val="32"/>
        </w:rPr>
      </w:pPr>
    </w:p>
    <w:p>
      <w:pPr>
        <w:ind w:firstLine="640"/>
        <w:rPr>
          <w:rFonts w:ascii="仿宋_GB2312" w:hAnsi="Times New Roman" w:eastAsia="仿宋_GB2312" w:cs="Times New Roman"/>
          <w:sz w:val="32"/>
          <w:szCs w:val="32"/>
        </w:rPr>
      </w:pPr>
      <w:r>
        <w:rPr>
          <w:rFonts w:hint="eastAsia" w:ascii="仿宋_GB2312" w:hAnsi="宋体" w:eastAsia="仿宋_GB2312" w:cs="宋体"/>
          <w:sz w:val="32"/>
          <w:szCs w:val="32"/>
        </w:rPr>
        <w:t>按照《</w:t>
      </w:r>
      <w:r>
        <w:rPr>
          <w:rFonts w:hint="eastAsia" w:ascii="仿宋_GB2312" w:hAnsi="宋体" w:eastAsia="仿宋_GB2312" w:cs="宋体"/>
          <w:sz w:val="32"/>
          <w:szCs w:val="32"/>
          <w:lang w:eastAsia="zh-CN"/>
        </w:rPr>
        <w:t>中华人民共和国预算法</w:t>
      </w:r>
      <w:r>
        <w:rPr>
          <w:rFonts w:hint="eastAsia" w:ascii="仿宋_GB2312" w:hAnsi="宋体" w:eastAsia="仿宋_GB2312" w:cs="宋体"/>
          <w:sz w:val="32"/>
          <w:szCs w:val="32"/>
        </w:rPr>
        <w:t>》、《地方预决算公开操作规程》规定，现将灵寿县三圣院乡人民政府</w:t>
      </w:r>
      <w:r>
        <w:rPr>
          <w:rFonts w:ascii="仿宋_GB2312" w:hAnsi="Times New Roman" w:eastAsia="仿宋_GB2312" w:cs="Times New Roman"/>
          <w:sz w:val="32"/>
          <w:szCs w:val="32"/>
        </w:rPr>
        <w:t>2020</w:t>
      </w:r>
      <w:r>
        <w:rPr>
          <w:rFonts w:hint="eastAsia" w:ascii="仿宋_GB2312" w:hAnsi="宋体" w:eastAsia="仿宋_GB2312" w:cs="宋体"/>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0"/>
        <w:rPr>
          <w:rFonts w:ascii="仿宋_GB2312" w:eastAsia="仿宋_GB2312" w:cs="宋体"/>
          <w:b/>
          <w:bCs/>
          <w:sz w:val="32"/>
          <w:szCs w:val="32"/>
        </w:rPr>
      </w:pPr>
      <w:r>
        <w:rPr>
          <w:rFonts w:hint="eastAsia" w:ascii="仿宋_GB2312" w:hAnsi="宋体" w:eastAsia="仿宋_GB2312" w:cs="宋体"/>
          <w:b/>
          <w:bCs/>
          <w:sz w:val="32"/>
          <w:szCs w:val="32"/>
        </w:rPr>
        <w:t>部门职责：</w:t>
      </w:r>
      <w:r>
        <w:rPr>
          <w:rFonts w:hint="eastAsia" w:ascii="仿宋_GB2312" w:hAnsi="宋体" w:eastAsia="仿宋_GB2312" w:cs="宋体"/>
          <w:sz w:val="32"/>
          <w:szCs w:val="32"/>
        </w:rPr>
        <w:t>根据《灵寿县三圣院乡人民政府职能配置、内设机构和人员编制规定》，</w:t>
      </w:r>
      <w:r>
        <w:rPr>
          <w:rFonts w:ascii="仿宋_GB2312" w:hAnsi="宋体" w:eastAsia="仿宋_GB2312" w:cs="宋体"/>
          <w:sz w:val="32"/>
          <w:szCs w:val="32"/>
        </w:rPr>
        <w:t xml:space="preserve"> </w:t>
      </w:r>
      <w:r>
        <w:rPr>
          <w:rFonts w:hint="eastAsia" w:ascii="仿宋_GB2312" w:hAnsi="宋体" w:eastAsia="仿宋_GB2312" w:cs="宋体"/>
          <w:sz w:val="32"/>
          <w:szCs w:val="32"/>
        </w:rPr>
        <w:t>灵寿县三圣院乡人民政府的主要职责是：</w:t>
      </w:r>
    </w:p>
    <w:p>
      <w:pPr>
        <w:ind w:firstLine="640"/>
        <w:rPr>
          <w:rFonts w:ascii="仿宋_GB2312" w:eastAsia="仿宋_GB2312" w:cs="宋体"/>
          <w:sz w:val="32"/>
          <w:szCs w:val="32"/>
        </w:rPr>
      </w:pPr>
      <w:r>
        <w:rPr>
          <w:rFonts w:hint="eastAsia" w:ascii="仿宋_GB2312" w:hAnsi="宋体" w:eastAsia="仿宋_GB2312" w:cs="宋体"/>
          <w:sz w:val="32"/>
          <w:szCs w:val="32"/>
        </w:rPr>
        <w:t>（一）经济管理</w:t>
      </w:r>
    </w:p>
    <w:p>
      <w:pPr>
        <w:ind w:firstLine="640"/>
        <w:rPr>
          <w:rFonts w:ascii="仿宋_GB2312" w:eastAsia="仿宋_GB2312" w:cs="宋体"/>
          <w:sz w:val="32"/>
          <w:szCs w:val="32"/>
        </w:rPr>
      </w:pPr>
      <w:r>
        <w:rPr>
          <w:rFonts w:ascii="仿宋_GB2312" w:hAnsi="宋体" w:eastAsia="仿宋_GB2312" w:cs="宋体"/>
          <w:sz w:val="32"/>
          <w:szCs w:val="32"/>
        </w:rPr>
        <w:t>1</w:t>
      </w:r>
      <w:r>
        <w:rPr>
          <w:rFonts w:hint="eastAsia" w:ascii="仿宋_GB2312" w:hAnsi="宋体" w:eastAsia="仿宋_GB2312" w:cs="宋体"/>
          <w:sz w:val="32"/>
          <w:szCs w:val="32"/>
        </w:rPr>
        <w:t>、优化产业结构。调整并建立合理的城镇产业结构，推动区域技术和信息交流，真正把乡镇产业做好、做大、做强。</w:t>
      </w:r>
    </w:p>
    <w:p>
      <w:pPr>
        <w:ind w:firstLine="640"/>
        <w:rPr>
          <w:rFonts w:ascii="仿宋_GB2312" w:eastAsia="仿宋_GB2312" w:cs="宋体"/>
          <w:sz w:val="32"/>
          <w:szCs w:val="32"/>
        </w:rPr>
      </w:pPr>
      <w:r>
        <w:rPr>
          <w:rFonts w:ascii="仿宋_GB2312" w:hAnsi="宋体" w:eastAsia="仿宋_GB2312" w:cs="宋体"/>
          <w:sz w:val="32"/>
          <w:szCs w:val="32"/>
        </w:rPr>
        <w:t>2</w:t>
      </w:r>
      <w:r>
        <w:rPr>
          <w:rFonts w:hint="eastAsia" w:ascii="仿宋_GB2312" w:hAnsi="宋体" w:eastAsia="仿宋_GB2312" w:cs="宋体"/>
          <w:sz w:val="32"/>
          <w:szCs w:val="32"/>
        </w:rPr>
        <w:t>、工业经济管理。优化经济结构，以市场需求为导向，大力培育支柱产业，加强各类综合市场和专业市场建设，不断繁荣乡镇经济。</w:t>
      </w:r>
    </w:p>
    <w:p>
      <w:pPr>
        <w:ind w:firstLine="640"/>
        <w:rPr>
          <w:rFonts w:ascii="仿宋_GB2312" w:eastAsia="仿宋_GB2312" w:cs="宋体"/>
          <w:sz w:val="32"/>
          <w:szCs w:val="32"/>
        </w:rPr>
      </w:pPr>
      <w:r>
        <w:rPr>
          <w:rFonts w:ascii="仿宋_GB2312" w:hAnsi="宋体" w:eastAsia="仿宋_GB2312" w:cs="宋体"/>
          <w:sz w:val="32"/>
          <w:szCs w:val="32"/>
        </w:rPr>
        <w:t>3</w:t>
      </w:r>
      <w:r>
        <w:rPr>
          <w:rFonts w:hint="eastAsia" w:ascii="仿宋_GB2312" w:hAnsi="宋体" w:eastAsia="仿宋_GB2312" w:cs="宋体"/>
          <w:sz w:val="32"/>
          <w:szCs w:val="32"/>
        </w:rPr>
        <w:t>、发展农村经济。执行各类惠农政策，推进新农村建设，保证农村经济健康发展。</w:t>
      </w:r>
    </w:p>
    <w:p>
      <w:pPr>
        <w:ind w:firstLine="640"/>
        <w:rPr>
          <w:rFonts w:ascii="仿宋_GB2312" w:eastAsia="仿宋_GB2312" w:cs="宋体"/>
          <w:sz w:val="32"/>
          <w:szCs w:val="32"/>
        </w:rPr>
      </w:pPr>
      <w:r>
        <w:rPr>
          <w:rFonts w:hint="eastAsia" w:ascii="仿宋_GB2312" w:hAnsi="宋体" w:eastAsia="仿宋_GB2312" w:cs="宋体"/>
          <w:sz w:val="32"/>
          <w:szCs w:val="32"/>
        </w:rPr>
        <w:t>（二）社会管理</w:t>
      </w:r>
    </w:p>
    <w:p>
      <w:pPr>
        <w:ind w:firstLine="640"/>
        <w:rPr>
          <w:rFonts w:ascii="仿宋_GB2312" w:eastAsia="仿宋_GB2312" w:cs="宋体"/>
          <w:sz w:val="32"/>
          <w:szCs w:val="32"/>
        </w:rPr>
      </w:pPr>
      <w:r>
        <w:rPr>
          <w:rFonts w:ascii="仿宋_GB2312" w:hAnsi="宋体" w:eastAsia="仿宋_GB2312" w:cs="宋体"/>
          <w:sz w:val="32"/>
          <w:szCs w:val="32"/>
        </w:rPr>
        <w:t>1</w:t>
      </w:r>
      <w:r>
        <w:rPr>
          <w:rFonts w:hint="eastAsia" w:ascii="仿宋_GB2312" w:hAnsi="宋体" w:eastAsia="仿宋_GB2312" w:cs="宋体"/>
          <w:sz w:val="32"/>
          <w:szCs w:val="32"/>
        </w:rPr>
        <w:t>、村级事务管理。实现村级事务制度化、科学化、规范化运行。</w:t>
      </w:r>
    </w:p>
    <w:p>
      <w:pPr>
        <w:ind w:firstLine="640"/>
        <w:rPr>
          <w:rFonts w:ascii="仿宋_GB2312" w:eastAsia="仿宋_GB2312" w:cs="宋体"/>
          <w:sz w:val="32"/>
          <w:szCs w:val="32"/>
        </w:rPr>
      </w:pPr>
      <w:r>
        <w:rPr>
          <w:rFonts w:ascii="仿宋_GB2312" w:hAnsi="宋体" w:eastAsia="仿宋_GB2312" w:cs="宋体"/>
          <w:sz w:val="32"/>
          <w:szCs w:val="32"/>
        </w:rPr>
        <w:t>2</w:t>
      </w:r>
      <w:r>
        <w:rPr>
          <w:rFonts w:hint="eastAsia" w:ascii="仿宋_GB2312" w:hAnsi="宋体" w:eastAsia="仿宋_GB2312" w:cs="宋体"/>
          <w:sz w:val="32"/>
          <w:szCs w:val="32"/>
        </w:rPr>
        <w:t>、计生事务管理。保障计划生育工作的顺利开展和计生资金的发放。</w:t>
      </w:r>
    </w:p>
    <w:p>
      <w:pPr>
        <w:ind w:firstLine="640"/>
        <w:rPr>
          <w:rFonts w:ascii="仿宋_GB2312" w:eastAsia="仿宋_GB2312" w:cs="宋体"/>
          <w:sz w:val="32"/>
          <w:szCs w:val="32"/>
        </w:rPr>
      </w:pPr>
      <w:r>
        <w:rPr>
          <w:rFonts w:ascii="仿宋_GB2312" w:hAnsi="宋体" w:eastAsia="仿宋_GB2312" w:cs="宋体"/>
          <w:sz w:val="32"/>
          <w:szCs w:val="32"/>
        </w:rPr>
        <w:t>3</w:t>
      </w:r>
      <w:r>
        <w:rPr>
          <w:rFonts w:hint="eastAsia" w:ascii="仿宋_GB2312" w:hAnsi="宋体" w:eastAsia="仿宋_GB2312" w:cs="宋体"/>
          <w:sz w:val="32"/>
          <w:szCs w:val="32"/>
        </w:rPr>
        <w:t>、安全监督监察。督查安全生产隐患排查治理到位，非法违法行为得到有效遏制，安全生产法治秩序得到进一步完善，遏制重大安全生产事故，全镇安全生产形势持续稳定好转。及时部署全镇安全生产工作，传达部署国家、省、市关于安全生产工作的要求，研究协调解决安全生产工作中的重大问题。</w:t>
      </w:r>
    </w:p>
    <w:p>
      <w:pPr>
        <w:ind w:firstLine="640"/>
        <w:rPr>
          <w:rFonts w:ascii="仿宋_GB2312" w:eastAsia="仿宋_GB2312" w:cs="宋体"/>
          <w:sz w:val="32"/>
          <w:szCs w:val="32"/>
        </w:rPr>
      </w:pPr>
      <w:r>
        <w:rPr>
          <w:rFonts w:ascii="仿宋_GB2312" w:hAnsi="宋体" w:eastAsia="仿宋_GB2312" w:cs="宋体"/>
          <w:sz w:val="32"/>
          <w:szCs w:val="32"/>
        </w:rPr>
        <w:t>4</w:t>
      </w:r>
      <w:r>
        <w:rPr>
          <w:rFonts w:hint="eastAsia" w:ascii="仿宋_GB2312" w:hAnsi="宋体" w:eastAsia="仿宋_GB2312" w:cs="宋体"/>
          <w:sz w:val="32"/>
          <w:szCs w:val="32"/>
        </w:rPr>
        <w:t>、环境综合整治。改善农村人居环境，提高农民生活质量和健康水平。</w:t>
      </w:r>
    </w:p>
    <w:p>
      <w:pPr>
        <w:ind w:firstLine="640"/>
        <w:rPr>
          <w:rFonts w:ascii="仿宋_GB2312" w:eastAsia="仿宋_GB2312" w:cs="宋体"/>
          <w:sz w:val="32"/>
          <w:szCs w:val="32"/>
        </w:rPr>
      </w:pPr>
      <w:r>
        <w:rPr>
          <w:rFonts w:ascii="仿宋_GB2312" w:hAnsi="宋体" w:eastAsia="仿宋_GB2312" w:cs="宋体"/>
          <w:sz w:val="32"/>
          <w:szCs w:val="32"/>
        </w:rPr>
        <w:t>5</w:t>
      </w:r>
      <w:r>
        <w:rPr>
          <w:rFonts w:hint="eastAsia" w:ascii="仿宋_GB2312" w:hAnsi="宋体" w:eastAsia="仿宋_GB2312" w:cs="宋体"/>
          <w:sz w:val="32"/>
          <w:szCs w:val="32"/>
        </w:rPr>
        <w:t>、综合事务管理。配合城建部门推进城镇化建设，农村危房改造；配合国土部门做好耕地保护工作；配合武装部做好征兵工作及民兵工作；配合国、地税部门做好协税护税工作；配合审计、统计部门做好乡镇审计、统计工作；配合交通部门做好农村道路建设；做好乡镇债务化解，解决长聘人员生活补助；改善乡镇办公条件；维护乡镇稳定。配合好各部门完成相关工作。</w:t>
      </w:r>
    </w:p>
    <w:p>
      <w:pPr>
        <w:ind w:firstLine="640"/>
        <w:rPr>
          <w:rFonts w:ascii="仿宋_GB2312" w:eastAsia="仿宋_GB2312" w:cs="宋体"/>
          <w:sz w:val="32"/>
          <w:szCs w:val="32"/>
        </w:rPr>
      </w:pPr>
      <w:r>
        <w:rPr>
          <w:rFonts w:hint="eastAsia" w:ascii="仿宋_GB2312" w:hAnsi="宋体" w:eastAsia="仿宋_GB2312" w:cs="宋体"/>
          <w:sz w:val="32"/>
          <w:szCs w:val="32"/>
        </w:rPr>
        <w:t>（三）公共服务</w:t>
      </w:r>
    </w:p>
    <w:p>
      <w:pPr>
        <w:ind w:firstLine="640"/>
        <w:rPr>
          <w:rFonts w:ascii="仿宋_GB2312" w:eastAsia="仿宋_GB2312" w:cs="宋体"/>
          <w:sz w:val="32"/>
          <w:szCs w:val="32"/>
        </w:rPr>
      </w:pPr>
      <w:r>
        <w:rPr>
          <w:rFonts w:ascii="仿宋_GB2312" w:hAnsi="宋体" w:eastAsia="仿宋_GB2312" w:cs="宋体"/>
          <w:sz w:val="32"/>
          <w:szCs w:val="32"/>
        </w:rPr>
        <w:t>1</w:t>
      </w:r>
      <w:r>
        <w:rPr>
          <w:rFonts w:hint="eastAsia" w:ascii="仿宋_GB2312" w:hAnsi="宋体" w:eastAsia="仿宋_GB2312" w:cs="宋体"/>
          <w:sz w:val="32"/>
          <w:szCs w:val="32"/>
        </w:rPr>
        <w:t>、基础设施建设。确保基础设施建设安全可靠，功能及资金使用符合施工要求，节能环保。</w:t>
      </w:r>
    </w:p>
    <w:p>
      <w:pPr>
        <w:ind w:firstLine="640"/>
        <w:rPr>
          <w:rFonts w:ascii="仿宋_GB2312" w:eastAsia="仿宋_GB2312" w:cs="宋体"/>
          <w:sz w:val="32"/>
          <w:szCs w:val="32"/>
        </w:rPr>
      </w:pPr>
      <w:r>
        <w:rPr>
          <w:rFonts w:ascii="仿宋_GB2312" w:hAnsi="宋体" w:eastAsia="仿宋_GB2312" w:cs="宋体"/>
          <w:sz w:val="32"/>
          <w:szCs w:val="32"/>
        </w:rPr>
        <w:t>2</w:t>
      </w:r>
      <w:r>
        <w:rPr>
          <w:rFonts w:hint="eastAsia" w:ascii="仿宋_GB2312" w:hAnsi="宋体" w:eastAsia="仿宋_GB2312" w:cs="宋体"/>
          <w:sz w:val="32"/>
          <w:szCs w:val="32"/>
        </w:rPr>
        <w:t>、生活条件改善。配合广播电视、电力、电信等部门，做好普及有线电视、电网改造工作，扩大通讯网络在农村的覆盖面，打造宜居环境。</w:t>
      </w:r>
    </w:p>
    <w:p>
      <w:pPr>
        <w:ind w:firstLine="640"/>
        <w:rPr>
          <w:rFonts w:ascii="仿宋_GB2312" w:eastAsia="仿宋_GB2312" w:cs="宋体"/>
          <w:sz w:val="32"/>
          <w:szCs w:val="32"/>
        </w:rPr>
      </w:pPr>
      <w:r>
        <w:rPr>
          <w:rFonts w:ascii="仿宋_GB2312" w:hAnsi="宋体" w:eastAsia="仿宋_GB2312" w:cs="宋体"/>
          <w:sz w:val="32"/>
          <w:szCs w:val="32"/>
        </w:rPr>
        <w:t>3</w:t>
      </w:r>
      <w:r>
        <w:rPr>
          <w:rFonts w:hint="eastAsia" w:ascii="仿宋_GB2312" w:hAnsi="宋体" w:eastAsia="仿宋_GB2312" w:cs="宋体"/>
          <w:sz w:val="32"/>
          <w:szCs w:val="32"/>
        </w:rPr>
        <w:t>、社会保障服务。做好农民就业培训，提高医保参保率。</w:t>
      </w:r>
    </w:p>
    <w:p>
      <w:pPr>
        <w:ind w:firstLine="640"/>
        <w:rPr>
          <w:rFonts w:ascii="仿宋_GB2312" w:eastAsia="仿宋_GB2312" w:cs="宋体"/>
          <w:sz w:val="32"/>
          <w:szCs w:val="32"/>
        </w:rPr>
      </w:pPr>
      <w:r>
        <w:rPr>
          <w:rFonts w:ascii="仿宋_GB2312" w:hAnsi="宋体" w:eastAsia="仿宋_GB2312" w:cs="宋体"/>
          <w:sz w:val="32"/>
          <w:szCs w:val="32"/>
        </w:rPr>
        <w:t>4</w:t>
      </w:r>
      <w:r>
        <w:rPr>
          <w:rFonts w:hint="eastAsia" w:ascii="仿宋_GB2312" w:hAnsi="宋体" w:eastAsia="仿宋_GB2312" w:cs="宋体"/>
          <w:sz w:val="32"/>
          <w:szCs w:val="32"/>
        </w:rPr>
        <w:t>、基本生存保障。配合民政、残联部门做好农村扶贫和低保工作以及特困户救助和残疾人服务工作。对申请救助且符合救助条件的人员全部实施救助。</w:t>
      </w:r>
    </w:p>
    <w:p>
      <w:pPr>
        <w:ind w:firstLine="640"/>
        <w:rPr>
          <w:rFonts w:ascii="仿宋_GB2312" w:eastAsia="仿宋_GB2312" w:cs="宋体"/>
          <w:sz w:val="32"/>
          <w:szCs w:val="32"/>
        </w:rPr>
      </w:pPr>
      <w:r>
        <w:rPr>
          <w:rFonts w:ascii="仿宋_GB2312" w:hAnsi="宋体" w:eastAsia="仿宋_GB2312" w:cs="宋体"/>
          <w:sz w:val="32"/>
          <w:szCs w:val="32"/>
        </w:rPr>
        <w:t>5</w:t>
      </w:r>
      <w:r>
        <w:rPr>
          <w:rFonts w:hint="eastAsia" w:ascii="仿宋_GB2312" w:hAnsi="宋体" w:eastAsia="仿宋_GB2312" w:cs="宋体"/>
          <w:sz w:val="32"/>
          <w:szCs w:val="32"/>
        </w:rPr>
        <w:t>、科技推广服务。配合农业部门（农、林、牧、水）做好农业技术服务和技术推广工作，动物防疫工作，增强农业抗御自然灾害的能力。健全农业基层技术推广体系。</w:t>
      </w:r>
    </w:p>
    <w:p>
      <w:pPr>
        <w:ind w:firstLine="640"/>
        <w:rPr>
          <w:rFonts w:ascii="仿宋_GB2312" w:eastAsia="仿宋_GB2312" w:cs="宋体"/>
          <w:sz w:val="32"/>
          <w:szCs w:val="32"/>
        </w:rPr>
      </w:pPr>
      <w:r>
        <w:rPr>
          <w:rFonts w:ascii="仿宋_GB2312" w:hAnsi="宋体" w:eastAsia="仿宋_GB2312" w:cs="宋体"/>
          <w:sz w:val="32"/>
          <w:szCs w:val="32"/>
        </w:rPr>
        <w:t>6</w:t>
      </w:r>
      <w:r>
        <w:rPr>
          <w:rFonts w:hint="eastAsia" w:ascii="仿宋_GB2312" w:hAnsi="宋体" w:eastAsia="仿宋_GB2312" w:cs="宋体"/>
          <w:sz w:val="32"/>
          <w:szCs w:val="32"/>
        </w:rPr>
        <w:t>、提高农民素质。全面提高农民素质，适应农业现代化、工业化、城镇化以及新农业建设的需要。</w:t>
      </w:r>
    </w:p>
    <w:p>
      <w:pPr>
        <w:ind w:firstLine="640"/>
        <w:rPr>
          <w:rFonts w:ascii="仿宋_GB2312" w:eastAsia="仿宋_GB2312" w:cs="宋体"/>
          <w:sz w:val="32"/>
          <w:szCs w:val="32"/>
        </w:rPr>
      </w:pPr>
      <w:r>
        <w:rPr>
          <w:rFonts w:hint="eastAsia" w:ascii="仿宋_GB2312" w:hAnsi="宋体" w:eastAsia="仿宋_GB2312" w:cs="宋体"/>
          <w:sz w:val="32"/>
          <w:szCs w:val="32"/>
        </w:rPr>
        <w:t>（四）维护稳定</w:t>
      </w:r>
    </w:p>
    <w:p>
      <w:pPr>
        <w:ind w:firstLine="640"/>
        <w:rPr>
          <w:rFonts w:ascii="仿宋_GB2312" w:eastAsia="仿宋_GB2312" w:cs="宋体"/>
          <w:sz w:val="32"/>
          <w:szCs w:val="32"/>
        </w:rPr>
      </w:pPr>
      <w:r>
        <w:rPr>
          <w:rFonts w:ascii="仿宋_GB2312" w:hAnsi="宋体" w:eastAsia="仿宋_GB2312" w:cs="宋体"/>
          <w:sz w:val="32"/>
          <w:szCs w:val="32"/>
        </w:rPr>
        <w:t>1</w:t>
      </w:r>
      <w:r>
        <w:rPr>
          <w:rFonts w:hint="eastAsia" w:ascii="仿宋_GB2312" w:hAnsi="宋体" w:eastAsia="仿宋_GB2312" w:cs="宋体"/>
          <w:sz w:val="32"/>
          <w:szCs w:val="32"/>
        </w:rPr>
        <w:t>、社会治安管理。预防减少不稳定因素的发生，有效化解不稳定隐患、群体性事件和突发事件，维护国家安全。</w:t>
      </w:r>
    </w:p>
    <w:p>
      <w:pPr>
        <w:ind w:firstLine="640"/>
        <w:rPr>
          <w:rFonts w:ascii="仿宋_GB2312" w:eastAsia="仿宋_GB2312" w:cs="宋体"/>
          <w:sz w:val="32"/>
          <w:szCs w:val="32"/>
        </w:rPr>
      </w:pPr>
      <w:r>
        <w:rPr>
          <w:rFonts w:ascii="仿宋_GB2312" w:hAnsi="宋体" w:eastAsia="仿宋_GB2312" w:cs="宋体"/>
          <w:sz w:val="32"/>
          <w:szCs w:val="32"/>
        </w:rPr>
        <w:t>2</w:t>
      </w:r>
      <w:r>
        <w:rPr>
          <w:rFonts w:hint="eastAsia" w:ascii="仿宋_GB2312" w:hAnsi="宋体" w:eastAsia="仿宋_GB2312" w:cs="宋体"/>
          <w:sz w:val="32"/>
          <w:szCs w:val="32"/>
        </w:rPr>
        <w:t>、普法宣传教育。确保普法宣传教育工作谋划到位、落实到位、顺利开展。</w:t>
      </w:r>
    </w:p>
    <w:p>
      <w:pPr>
        <w:ind w:firstLine="640"/>
        <w:rPr>
          <w:rFonts w:ascii="仿宋_GB2312" w:eastAsia="仿宋_GB2312" w:cs="宋体"/>
          <w:sz w:val="32"/>
          <w:szCs w:val="32"/>
        </w:rPr>
      </w:pPr>
      <w:r>
        <w:rPr>
          <w:rFonts w:ascii="仿宋_GB2312" w:hAnsi="宋体" w:eastAsia="仿宋_GB2312" w:cs="宋体"/>
          <w:sz w:val="32"/>
          <w:szCs w:val="32"/>
        </w:rPr>
        <w:t>3</w:t>
      </w:r>
      <w:r>
        <w:rPr>
          <w:rFonts w:hint="eastAsia" w:ascii="仿宋_GB2312" w:hAnsi="宋体" w:eastAsia="仿宋_GB2312" w:cs="宋体"/>
          <w:sz w:val="32"/>
          <w:szCs w:val="32"/>
        </w:rPr>
        <w:t>、处理信访事务。做好群众来信来访、法律咨询、搞好农村矛盾纠纷排查调处、处理正常信访、非访、突发性及群体性事件，提供相关服务保障。</w:t>
      </w:r>
    </w:p>
    <w:p>
      <w:pPr>
        <w:ind w:firstLine="640"/>
        <w:rPr>
          <w:rFonts w:ascii="仿宋_GB2312" w:eastAsia="仿宋_GB2312" w:cs="宋体"/>
          <w:sz w:val="32"/>
          <w:szCs w:val="32"/>
        </w:rPr>
      </w:pPr>
      <w:r>
        <w:rPr>
          <w:rFonts w:hint="eastAsia" w:ascii="仿宋_GB2312" w:hAnsi="宋体" w:eastAsia="仿宋_GB2312" w:cs="宋体"/>
          <w:sz w:val="32"/>
          <w:szCs w:val="32"/>
        </w:rPr>
        <w:t>（五）扶贫开发项目管理</w:t>
      </w:r>
    </w:p>
    <w:p>
      <w:pPr>
        <w:ind w:firstLine="640"/>
        <w:rPr>
          <w:rFonts w:ascii="仿宋_GB2312" w:eastAsia="仿宋_GB2312" w:cs="宋体"/>
          <w:sz w:val="32"/>
          <w:szCs w:val="32"/>
        </w:rPr>
      </w:pPr>
      <w:r>
        <w:rPr>
          <w:rFonts w:ascii="仿宋_GB2312" w:hAnsi="宋体" w:eastAsia="仿宋_GB2312" w:cs="宋体"/>
          <w:sz w:val="32"/>
          <w:szCs w:val="32"/>
        </w:rPr>
        <w:t>1</w:t>
      </w:r>
      <w:r>
        <w:rPr>
          <w:rFonts w:hint="eastAsia" w:ascii="仿宋_GB2312" w:hAnsi="宋体" w:eastAsia="仿宋_GB2312" w:cs="宋体"/>
          <w:sz w:val="32"/>
          <w:szCs w:val="32"/>
        </w:rPr>
        <w:t>、财政投入项目。高效使用财政性扶贫开发资金，引导、放大金融资金，有效扩大扶贫项目贷款投放量，顺利推进扶贫项目建设、运行。</w:t>
      </w:r>
    </w:p>
    <w:p>
      <w:pPr>
        <w:ind w:firstLine="640"/>
        <w:rPr>
          <w:rFonts w:ascii="仿宋_GB2312" w:eastAsia="仿宋_GB2312" w:cs="宋体"/>
          <w:sz w:val="32"/>
          <w:szCs w:val="32"/>
        </w:rPr>
      </w:pPr>
      <w:r>
        <w:rPr>
          <w:rFonts w:ascii="仿宋_GB2312" w:hAnsi="宋体" w:eastAsia="仿宋_GB2312" w:cs="宋体"/>
          <w:sz w:val="32"/>
          <w:szCs w:val="32"/>
        </w:rPr>
        <w:t>2</w:t>
      </w:r>
      <w:r>
        <w:rPr>
          <w:rFonts w:hint="eastAsia" w:ascii="仿宋_GB2312" w:hAnsi="宋体" w:eastAsia="仿宋_GB2312" w:cs="宋体"/>
          <w:sz w:val="32"/>
          <w:szCs w:val="32"/>
        </w:rPr>
        <w:t>、社会投入项目。为每个建档立卡贫困村、贫困户落实帮扶单位、帮扶人员和帮扶措施，不脱贫不脱钩。社会捐赠扶贫开发资金高效使用，相关项目顺利推进。</w:t>
      </w:r>
    </w:p>
    <w:p>
      <w:pPr>
        <w:ind w:firstLine="640"/>
        <w:rPr>
          <w:rFonts w:ascii="仿宋_GB2312" w:eastAsia="仿宋_GB2312" w:cs="宋体"/>
          <w:sz w:val="32"/>
          <w:szCs w:val="32"/>
        </w:rPr>
      </w:pPr>
      <w:r>
        <w:rPr>
          <w:rFonts w:ascii="仿宋_GB2312" w:hAnsi="宋体" w:eastAsia="仿宋_GB2312" w:cs="宋体"/>
          <w:sz w:val="32"/>
          <w:szCs w:val="32"/>
        </w:rPr>
        <w:t>3</w:t>
      </w:r>
      <w:r>
        <w:rPr>
          <w:rFonts w:hint="eastAsia" w:ascii="仿宋_GB2312" w:hAnsi="宋体" w:eastAsia="仿宋_GB2312" w:cs="宋体"/>
          <w:sz w:val="32"/>
          <w:szCs w:val="32"/>
        </w:rPr>
        <w:t>、外资投入项目。负责规划和管理外资扶贫项目，组织协调有关扶贫开发的出国招商、考察工作。高效使用外资扶贫开发资金，顺利推进相关项目建设。</w:t>
      </w:r>
    </w:p>
    <w:p>
      <w:pPr>
        <w:ind w:firstLine="640"/>
        <w:rPr>
          <w:rFonts w:ascii="仿宋_GB2312" w:eastAsia="仿宋_GB2312" w:cs="宋体"/>
          <w:sz w:val="32"/>
          <w:szCs w:val="32"/>
        </w:rPr>
      </w:pPr>
      <w:r>
        <w:rPr>
          <w:rFonts w:hint="eastAsia" w:ascii="仿宋_GB2312" w:hAnsi="宋体" w:eastAsia="仿宋_GB2312" w:cs="宋体"/>
          <w:sz w:val="32"/>
          <w:szCs w:val="32"/>
        </w:rPr>
        <w:t>（六）扶贫开发人才建设</w:t>
      </w:r>
    </w:p>
    <w:p>
      <w:pPr>
        <w:ind w:firstLine="640"/>
        <w:rPr>
          <w:rFonts w:ascii="仿宋_GB2312" w:eastAsia="仿宋_GB2312" w:cs="宋体"/>
          <w:sz w:val="32"/>
          <w:szCs w:val="32"/>
        </w:rPr>
      </w:pPr>
      <w:r>
        <w:rPr>
          <w:rFonts w:hint="eastAsia" w:ascii="仿宋_GB2312" w:hAnsi="宋体" w:eastAsia="仿宋_GB2312" w:cs="宋体"/>
          <w:sz w:val="32"/>
          <w:szCs w:val="32"/>
        </w:rPr>
        <w:t>人才技能培训。提高扶贫干部队伍整体素质，增强贫困群众脱贫致富和就业本领。</w:t>
      </w:r>
    </w:p>
    <w:p>
      <w:pPr>
        <w:ind w:firstLine="643" w:firstLineChars="200"/>
        <w:rPr>
          <w:rFonts w:ascii="宋体" w:cs="宋体"/>
          <w:b/>
          <w:bCs/>
          <w:sz w:val="32"/>
          <w:szCs w:val="32"/>
        </w:rPr>
      </w:pPr>
      <w:r>
        <w:rPr>
          <w:rFonts w:hint="eastAsia" w:ascii="宋体" w:hAnsi="宋体" w:cs="宋体"/>
          <w:b/>
          <w:bCs/>
          <w:sz w:val="32"/>
          <w:szCs w:val="32"/>
        </w:rPr>
        <w:t>机构设置</w:t>
      </w:r>
    </w:p>
    <w:p>
      <w:pPr>
        <w:ind w:firstLine="640"/>
        <w:rPr>
          <w:rFonts w:ascii="仿宋_GB2312" w:eastAsia="仿宋_GB2312" w:cs="宋体"/>
          <w:sz w:val="32"/>
          <w:szCs w:val="32"/>
        </w:rPr>
      </w:pPr>
      <w:r>
        <w:rPr>
          <w:rFonts w:hint="eastAsia" w:ascii="仿宋_GB2312" w:hAnsi="宋体" w:eastAsia="仿宋_GB2312" w:cs="宋体"/>
          <w:sz w:val="32"/>
          <w:szCs w:val="32"/>
        </w:rPr>
        <w:t>按照“三定”方案要求，本部门分别设置灵寿县三圣院乡人民政府、中国共产党灵寿县三圣院乡委员会、灵寿县三圣院乡人民政府（财政所）、灵寿县三圣院乡人民政府（计划生育办公室）、灵寿县三圣院乡人民政府（纪委），以上均为全额拨款单位。</w:t>
      </w:r>
    </w:p>
    <w:p>
      <w:pPr>
        <w:ind w:firstLine="640"/>
        <w:rPr>
          <w:rFonts w:ascii="仿宋_GB2312" w:eastAsia="仿宋_GB2312" w:cs="宋体"/>
          <w:sz w:val="32"/>
          <w:szCs w:val="32"/>
        </w:rPr>
      </w:pPr>
      <w:r>
        <w:rPr>
          <w:rFonts w:hint="eastAsia" w:ascii="仿宋_GB2312" w:hAnsi="宋体" w:eastAsia="仿宋_GB2312" w:cs="宋体"/>
          <w:sz w:val="32"/>
          <w:szCs w:val="32"/>
        </w:rPr>
        <w:t>机构设置见下表：</w:t>
      </w:r>
    </w:p>
    <w:p>
      <w:pPr>
        <w:jc w:val="center"/>
        <w:outlineLvl w:val="0"/>
        <w:rPr>
          <w:rFonts w:ascii="仿宋_GB2312" w:hAnsi="Times New Roman" w:eastAsia="仿宋_GB2312" w:cs="Times New Roman"/>
          <w:sz w:val="32"/>
          <w:szCs w:val="32"/>
        </w:rPr>
      </w:pPr>
      <w:r>
        <w:rPr>
          <w:rFonts w:hint="eastAsia" w:ascii="仿宋_GB2312" w:hAnsi="Times New Roman" w:eastAsia="仿宋_GB2312"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_GB2312" w:hAnsi="Times New Roman" w:eastAsia="仿宋_GB2312" w:cs="Times New Roman"/>
                <w:b/>
                <w:bCs/>
              </w:rPr>
            </w:pPr>
            <w:r>
              <w:rPr>
                <w:rFonts w:hint="eastAsia" w:ascii="仿宋_GB2312" w:hAnsi="Times New Roman" w:eastAsia="仿宋_GB2312" w:cs="方正书宋_GBK"/>
                <w:b/>
                <w:bCs/>
              </w:rPr>
              <w:t>单位名称</w:t>
            </w:r>
          </w:p>
        </w:tc>
        <w:tc>
          <w:tcPr>
            <w:tcW w:w="1134" w:type="dxa"/>
            <w:vMerge w:val="restart"/>
            <w:vAlign w:val="center"/>
          </w:tcPr>
          <w:p>
            <w:pPr>
              <w:spacing w:line="300" w:lineRule="exact"/>
              <w:jc w:val="center"/>
              <w:rPr>
                <w:rFonts w:ascii="仿宋_GB2312" w:hAnsi="Times New Roman" w:eastAsia="仿宋_GB2312" w:cs="Times New Roman"/>
                <w:b/>
                <w:bCs/>
              </w:rPr>
            </w:pPr>
            <w:r>
              <w:rPr>
                <w:rFonts w:hint="eastAsia" w:ascii="仿宋_GB2312" w:hAnsi="Times New Roman" w:eastAsia="仿宋_GB2312" w:cs="方正书宋_GBK"/>
                <w:b/>
                <w:bCs/>
              </w:rPr>
              <w:t>单位性质</w:t>
            </w:r>
          </w:p>
        </w:tc>
        <w:tc>
          <w:tcPr>
            <w:tcW w:w="1276" w:type="dxa"/>
            <w:vMerge w:val="restart"/>
            <w:vAlign w:val="center"/>
          </w:tcPr>
          <w:p>
            <w:pPr>
              <w:spacing w:line="300" w:lineRule="exact"/>
              <w:jc w:val="center"/>
              <w:rPr>
                <w:rFonts w:ascii="仿宋_GB2312" w:hAnsi="Times New Roman" w:eastAsia="仿宋_GB2312" w:cs="Times New Roman"/>
                <w:b/>
                <w:bCs/>
              </w:rPr>
            </w:pPr>
            <w:r>
              <w:rPr>
                <w:rFonts w:hint="eastAsia" w:ascii="仿宋_GB2312" w:hAnsi="Times New Roman" w:eastAsia="仿宋_GB2312" w:cs="方正书宋_GBK"/>
                <w:b/>
                <w:bCs/>
              </w:rPr>
              <w:t>单位规格</w:t>
            </w:r>
          </w:p>
        </w:tc>
        <w:tc>
          <w:tcPr>
            <w:tcW w:w="2902" w:type="dxa"/>
            <w:vMerge w:val="restart"/>
            <w:vAlign w:val="center"/>
          </w:tcPr>
          <w:p>
            <w:pPr>
              <w:spacing w:line="300" w:lineRule="exact"/>
              <w:jc w:val="center"/>
              <w:rPr>
                <w:rFonts w:ascii="仿宋_GB2312" w:hAnsi="Times New Roman" w:eastAsia="仿宋_GB2312" w:cs="Times New Roman"/>
                <w:b/>
                <w:bCs/>
              </w:rPr>
            </w:pPr>
            <w:r>
              <w:rPr>
                <w:rFonts w:hint="eastAsia" w:ascii="仿宋_GB2312" w:hAnsi="Times New Roman" w:eastAsia="仿宋_GB2312"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仿宋_GB2312" w:hAnsi="Times New Roman" w:eastAsia="仿宋_GB2312" w:cs="Times New Roman"/>
              </w:rPr>
            </w:pPr>
          </w:p>
        </w:tc>
        <w:tc>
          <w:tcPr>
            <w:tcW w:w="1134" w:type="dxa"/>
            <w:vMerge w:val="continue"/>
            <w:vAlign w:val="center"/>
          </w:tcPr>
          <w:p>
            <w:pPr>
              <w:spacing w:line="300" w:lineRule="exact"/>
              <w:jc w:val="left"/>
              <w:outlineLvl w:val="0"/>
              <w:rPr>
                <w:rFonts w:ascii="仿宋_GB2312" w:hAnsi="Times New Roman" w:eastAsia="仿宋_GB2312" w:cs="Times New Roman"/>
              </w:rPr>
            </w:pPr>
          </w:p>
        </w:tc>
        <w:tc>
          <w:tcPr>
            <w:tcW w:w="1276" w:type="dxa"/>
            <w:vMerge w:val="continue"/>
            <w:vAlign w:val="center"/>
          </w:tcPr>
          <w:p>
            <w:pPr>
              <w:spacing w:line="300" w:lineRule="exact"/>
              <w:jc w:val="left"/>
              <w:outlineLvl w:val="0"/>
              <w:rPr>
                <w:rFonts w:ascii="仿宋_GB2312" w:hAnsi="Times New Roman" w:eastAsia="仿宋_GB2312" w:cs="Times New Roman"/>
              </w:rPr>
            </w:pPr>
          </w:p>
        </w:tc>
        <w:tc>
          <w:tcPr>
            <w:tcW w:w="2902" w:type="dxa"/>
            <w:vMerge w:val="continue"/>
            <w:vAlign w:val="center"/>
          </w:tcPr>
          <w:p>
            <w:pPr>
              <w:spacing w:line="300" w:lineRule="exact"/>
              <w:jc w:val="left"/>
              <w:outlineLvl w:val="0"/>
              <w:rPr>
                <w:rFonts w:ascii="仿宋_GB2312" w:hAnsi="Times New Roman" w:eastAsia="仿宋_GB2312"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eastAsia="仿宋_GB2312" w:cs="Times New Roman"/>
              </w:rPr>
            </w:pPr>
            <w:r>
              <w:rPr>
                <w:rFonts w:hint="eastAsia" w:ascii="仿宋_GB2312" w:eastAsia="仿宋_GB2312" w:cs="方正书宋_GBK"/>
              </w:rPr>
              <w:t>灵寿县三圣院乡人民政府</w:t>
            </w:r>
          </w:p>
        </w:tc>
        <w:tc>
          <w:tcPr>
            <w:tcW w:w="1134" w:type="dxa"/>
            <w:vAlign w:val="center"/>
          </w:tcPr>
          <w:p>
            <w:pPr>
              <w:spacing w:line="300" w:lineRule="exact"/>
              <w:jc w:val="center"/>
              <w:rPr>
                <w:rFonts w:ascii="仿宋_GB2312" w:eastAsia="仿宋_GB2312" w:cs="Times New Roman"/>
              </w:rPr>
            </w:pPr>
            <w:r>
              <w:rPr>
                <w:rFonts w:hint="eastAsia" w:ascii="仿宋_GB2312" w:eastAsia="仿宋_GB2312" w:cs="方正书宋_GBK"/>
              </w:rPr>
              <w:t>行政</w:t>
            </w:r>
          </w:p>
        </w:tc>
        <w:tc>
          <w:tcPr>
            <w:tcW w:w="1276" w:type="dxa"/>
            <w:vAlign w:val="center"/>
          </w:tcPr>
          <w:p>
            <w:pPr>
              <w:spacing w:line="300" w:lineRule="exact"/>
              <w:jc w:val="center"/>
              <w:rPr>
                <w:rFonts w:ascii="仿宋_GB2312" w:eastAsia="仿宋_GB2312" w:cs="Times New Roman"/>
              </w:rPr>
            </w:pPr>
            <w:r>
              <w:rPr>
                <w:rFonts w:hint="eastAsia" w:ascii="仿宋_GB2312" w:eastAsia="仿宋_GB2312" w:cs="方正书宋_GBK"/>
              </w:rPr>
              <w:t>正科级</w:t>
            </w:r>
          </w:p>
        </w:tc>
        <w:tc>
          <w:tcPr>
            <w:tcW w:w="2902" w:type="dxa"/>
            <w:vAlign w:val="center"/>
          </w:tcPr>
          <w:p>
            <w:pPr>
              <w:spacing w:line="300" w:lineRule="exact"/>
              <w:jc w:val="center"/>
              <w:rPr>
                <w:rFonts w:ascii="仿宋_GB2312" w:eastAsia="仿宋_GB2312" w:cs="Times New Roman"/>
              </w:rPr>
            </w:pPr>
            <w:r>
              <w:rPr>
                <w:rFonts w:hint="eastAsia" w:ascii="仿宋_GB2312" w:eastAsia="仿宋_GB2312" w:cs="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eastAsia="仿宋_GB2312" w:cs="Times New Roman"/>
              </w:rPr>
            </w:pPr>
            <w:r>
              <w:rPr>
                <w:rFonts w:hint="eastAsia" w:ascii="仿宋_GB2312" w:eastAsia="仿宋_GB2312" w:cs="方正书宋_GBK"/>
              </w:rPr>
              <w:t>中国共产党灵寿县三圣院乡委员会</w:t>
            </w:r>
          </w:p>
        </w:tc>
        <w:tc>
          <w:tcPr>
            <w:tcW w:w="1134" w:type="dxa"/>
            <w:vAlign w:val="center"/>
          </w:tcPr>
          <w:p>
            <w:pPr>
              <w:spacing w:line="300" w:lineRule="exact"/>
              <w:jc w:val="center"/>
              <w:rPr>
                <w:rFonts w:ascii="仿宋_GB2312" w:eastAsia="仿宋_GB2312" w:cs="Times New Roman"/>
              </w:rPr>
            </w:pPr>
            <w:r>
              <w:rPr>
                <w:rFonts w:hint="eastAsia" w:ascii="仿宋_GB2312" w:eastAsia="仿宋_GB2312" w:cs="方正书宋_GBK"/>
              </w:rPr>
              <w:t>行政</w:t>
            </w:r>
          </w:p>
        </w:tc>
        <w:tc>
          <w:tcPr>
            <w:tcW w:w="1276" w:type="dxa"/>
            <w:vAlign w:val="center"/>
          </w:tcPr>
          <w:p>
            <w:pPr>
              <w:spacing w:line="300" w:lineRule="exact"/>
              <w:jc w:val="center"/>
              <w:rPr>
                <w:rFonts w:ascii="仿宋_GB2312" w:eastAsia="仿宋_GB2312" w:cs="Times New Roman"/>
              </w:rPr>
            </w:pPr>
            <w:r>
              <w:rPr>
                <w:rFonts w:hint="eastAsia" w:ascii="仿宋_GB2312" w:eastAsia="仿宋_GB2312" w:cs="方正书宋_GBK"/>
              </w:rPr>
              <w:t>正科级</w:t>
            </w:r>
          </w:p>
        </w:tc>
        <w:tc>
          <w:tcPr>
            <w:tcW w:w="2902" w:type="dxa"/>
            <w:vAlign w:val="center"/>
          </w:tcPr>
          <w:p>
            <w:pPr>
              <w:spacing w:line="300" w:lineRule="exact"/>
              <w:jc w:val="center"/>
              <w:rPr>
                <w:rFonts w:ascii="仿宋_GB2312" w:eastAsia="仿宋_GB2312" w:cs="Times New Roman"/>
              </w:rPr>
            </w:pPr>
            <w:r>
              <w:rPr>
                <w:rFonts w:hint="eastAsia" w:ascii="仿宋_GB2312" w:eastAsia="仿宋_GB2312" w:cs="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eastAsia="仿宋_GB2312" w:cs="Times New Roman"/>
              </w:rPr>
            </w:pPr>
            <w:r>
              <w:rPr>
                <w:rFonts w:hint="eastAsia" w:ascii="仿宋_GB2312" w:eastAsia="仿宋_GB2312" w:cs="方正书宋_GBK"/>
              </w:rPr>
              <w:t>灵寿县三圣院乡人民政府（财政所）</w:t>
            </w:r>
          </w:p>
        </w:tc>
        <w:tc>
          <w:tcPr>
            <w:tcW w:w="1134" w:type="dxa"/>
            <w:vAlign w:val="center"/>
          </w:tcPr>
          <w:p>
            <w:pPr>
              <w:spacing w:line="300" w:lineRule="exact"/>
              <w:jc w:val="center"/>
              <w:rPr>
                <w:rFonts w:ascii="仿宋_GB2312" w:eastAsia="仿宋_GB2312" w:cs="Times New Roman"/>
              </w:rPr>
            </w:pPr>
            <w:r>
              <w:rPr>
                <w:rFonts w:hint="eastAsia" w:ascii="仿宋_GB2312" w:eastAsia="仿宋_GB2312" w:cs="方正书宋_GBK"/>
              </w:rPr>
              <w:t>事业</w:t>
            </w:r>
          </w:p>
        </w:tc>
        <w:tc>
          <w:tcPr>
            <w:tcW w:w="1276" w:type="dxa"/>
            <w:vAlign w:val="center"/>
          </w:tcPr>
          <w:p>
            <w:pPr>
              <w:spacing w:line="300" w:lineRule="exact"/>
              <w:jc w:val="center"/>
              <w:rPr>
                <w:rFonts w:ascii="仿宋_GB2312" w:eastAsia="仿宋_GB2312" w:cs="Times New Roman"/>
              </w:rPr>
            </w:pPr>
            <w:r>
              <w:rPr>
                <w:rFonts w:hint="eastAsia" w:ascii="仿宋_GB2312" w:eastAsia="仿宋_GB2312" w:cs="方正书宋_GBK"/>
              </w:rPr>
              <w:t>正股级</w:t>
            </w:r>
          </w:p>
        </w:tc>
        <w:tc>
          <w:tcPr>
            <w:tcW w:w="2902" w:type="dxa"/>
            <w:vAlign w:val="center"/>
          </w:tcPr>
          <w:p>
            <w:pPr>
              <w:spacing w:line="300" w:lineRule="exact"/>
              <w:jc w:val="center"/>
              <w:rPr>
                <w:rFonts w:ascii="仿宋_GB2312" w:eastAsia="仿宋_GB2312" w:cs="Times New Roman"/>
              </w:rPr>
            </w:pPr>
            <w:r>
              <w:rPr>
                <w:rFonts w:hint="eastAsia" w:ascii="仿宋_GB2312" w:eastAsia="仿宋_GB2312" w:cs="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eastAsia="仿宋_GB2312" w:cs="Times New Roman"/>
              </w:rPr>
            </w:pPr>
            <w:r>
              <w:rPr>
                <w:rFonts w:hint="eastAsia" w:ascii="仿宋_GB2312" w:eastAsia="仿宋_GB2312" w:cs="方正书宋_GBK"/>
              </w:rPr>
              <w:t>灵寿县三圣院乡人民政府（计划生育办公室）</w:t>
            </w:r>
          </w:p>
        </w:tc>
        <w:tc>
          <w:tcPr>
            <w:tcW w:w="1134" w:type="dxa"/>
            <w:vAlign w:val="center"/>
          </w:tcPr>
          <w:p>
            <w:pPr>
              <w:spacing w:line="300" w:lineRule="exact"/>
              <w:jc w:val="center"/>
              <w:rPr>
                <w:rFonts w:ascii="仿宋_GB2312" w:eastAsia="仿宋_GB2312" w:cs="Times New Roman"/>
              </w:rPr>
            </w:pPr>
            <w:r>
              <w:rPr>
                <w:rFonts w:hint="eastAsia" w:ascii="仿宋_GB2312" w:eastAsia="仿宋_GB2312" w:cs="方正书宋_GBK"/>
              </w:rPr>
              <w:t>事业</w:t>
            </w:r>
          </w:p>
        </w:tc>
        <w:tc>
          <w:tcPr>
            <w:tcW w:w="1276" w:type="dxa"/>
            <w:vAlign w:val="center"/>
          </w:tcPr>
          <w:p>
            <w:pPr>
              <w:spacing w:line="300" w:lineRule="exact"/>
              <w:jc w:val="center"/>
              <w:rPr>
                <w:rFonts w:ascii="仿宋_GB2312" w:eastAsia="仿宋_GB2312" w:cs="Times New Roman"/>
              </w:rPr>
            </w:pPr>
            <w:r>
              <w:rPr>
                <w:rFonts w:hint="eastAsia" w:ascii="仿宋_GB2312" w:eastAsia="仿宋_GB2312" w:cs="方正书宋_GBK"/>
              </w:rPr>
              <w:t>正股级</w:t>
            </w:r>
          </w:p>
        </w:tc>
        <w:tc>
          <w:tcPr>
            <w:tcW w:w="2902" w:type="dxa"/>
            <w:vAlign w:val="center"/>
          </w:tcPr>
          <w:p>
            <w:pPr>
              <w:spacing w:line="300" w:lineRule="exact"/>
              <w:jc w:val="center"/>
              <w:rPr>
                <w:rFonts w:ascii="仿宋_GB2312" w:eastAsia="仿宋_GB2312" w:cs="Times New Roman"/>
              </w:rPr>
            </w:pPr>
            <w:r>
              <w:rPr>
                <w:rFonts w:hint="eastAsia" w:ascii="仿宋_GB2312" w:eastAsia="仿宋_GB2312" w:cs="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eastAsia="仿宋_GB2312" w:cs="Times New Roman"/>
              </w:rPr>
            </w:pPr>
            <w:r>
              <w:rPr>
                <w:rFonts w:hint="eastAsia" w:ascii="仿宋_GB2312" w:eastAsia="仿宋_GB2312" w:cs="方正书宋_GBK"/>
              </w:rPr>
              <w:t>灵寿县三圣院乡人民政府（纪委）</w:t>
            </w:r>
          </w:p>
        </w:tc>
        <w:tc>
          <w:tcPr>
            <w:tcW w:w="1134" w:type="dxa"/>
            <w:vAlign w:val="center"/>
          </w:tcPr>
          <w:p>
            <w:pPr>
              <w:spacing w:line="300" w:lineRule="exact"/>
              <w:jc w:val="center"/>
              <w:rPr>
                <w:rFonts w:ascii="仿宋_GB2312" w:eastAsia="仿宋_GB2312" w:cs="Times New Roman"/>
              </w:rPr>
            </w:pPr>
            <w:r>
              <w:rPr>
                <w:rFonts w:hint="eastAsia" w:ascii="仿宋_GB2312" w:eastAsia="仿宋_GB2312" w:cs="方正书宋_GBK"/>
              </w:rPr>
              <w:t>行政</w:t>
            </w:r>
          </w:p>
        </w:tc>
        <w:tc>
          <w:tcPr>
            <w:tcW w:w="1276" w:type="dxa"/>
            <w:vAlign w:val="center"/>
          </w:tcPr>
          <w:p>
            <w:pPr>
              <w:spacing w:line="300" w:lineRule="exact"/>
              <w:jc w:val="center"/>
              <w:rPr>
                <w:rFonts w:ascii="仿宋_GB2312" w:eastAsia="仿宋_GB2312" w:cs="Times New Roman"/>
              </w:rPr>
            </w:pPr>
            <w:r>
              <w:rPr>
                <w:rFonts w:hint="eastAsia" w:ascii="仿宋_GB2312" w:eastAsia="仿宋_GB2312" w:cs="方正书宋_GBK"/>
              </w:rPr>
              <w:t>副科级</w:t>
            </w:r>
          </w:p>
        </w:tc>
        <w:tc>
          <w:tcPr>
            <w:tcW w:w="2902" w:type="dxa"/>
            <w:vAlign w:val="center"/>
          </w:tcPr>
          <w:p>
            <w:pPr>
              <w:spacing w:line="300" w:lineRule="exact"/>
              <w:jc w:val="center"/>
              <w:rPr>
                <w:rFonts w:ascii="仿宋_GB2312" w:eastAsia="仿宋_GB2312" w:cs="Times New Roman"/>
              </w:rPr>
            </w:pPr>
            <w:r>
              <w:rPr>
                <w:rFonts w:hint="eastAsia" w:ascii="仿宋_GB2312" w:eastAsia="仿宋_GB2312" w:cs="方正书宋_GBK"/>
              </w:rPr>
              <w:t>财政拨款</w:t>
            </w:r>
          </w:p>
        </w:tc>
      </w:tr>
    </w:tbl>
    <w:p>
      <w:pPr>
        <w:spacing w:line="560" w:lineRule="exact"/>
      </w:pPr>
      <w:r>
        <w:rPr>
          <w:rFonts w:hint="eastAsia" w:ascii="仿宋_GB2312" w:hAnsi="宋体" w:eastAsia="仿宋_GB2312" w:cs="宋体"/>
          <w:kern w:val="0"/>
          <w:sz w:val="24"/>
        </w:rPr>
        <w:t>备注：乡镇没有下属单位，按职能划分为政府、党委、财政、计生、纪委等部门，预决算统一在政府编制。</w:t>
      </w:r>
    </w:p>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仿宋_GB2312" w:hAnsi="Times New Roman" w:eastAsia="仿宋_GB2312" w:cs="Times New Roman"/>
          <w:sz w:val="32"/>
          <w:szCs w:val="32"/>
        </w:rPr>
      </w:pPr>
      <w:r>
        <w:rPr>
          <w:rFonts w:hint="eastAsia" w:ascii="仿宋_GB2312" w:hAnsi="宋体" w:eastAsia="仿宋_GB2312" w:cs="宋体"/>
          <w:sz w:val="32"/>
          <w:szCs w:val="32"/>
        </w:rPr>
        <w:t>按照预算管理有关规定，目前我县部门预算的编制实行综合预算管理，即全部收入和支出都反映的预算中。灵寿县三圣院乡人民政府的收支包含在部门预算中。</w:t>
      </w:r>
    </w:p>
    <w:p>
      <w:pPr>
        <w:ind w:firstLine="640"/>
        <w:rPr>
          <w:rFonts w:ascii="仿宋_GB2312" w:hAnsi="Times New Roman" w:eastAsia="仿宋_GB2312" w:cs="Times New Roman"/>
          <w:sz w:val="32"/>
          <w:szCs w:val="32"/>
        </w:rPr>
      </w:pPr>
      <w:r>
        <w:rPr>
          <w:rFonts w:ascii="仿宋_GB2312" w:hAnsi="Times New Roman" w:eastAsia="仿宋_GB2312" w:cs="Times New Roman"/>
          <w:sz w:val="32"/>
          <w:szCs w:val="32"/>
        </w:rPr>
        <w:t>1</w:t>
      </w:r>
      <w:r>
        <w:rPr>
          <w:rFonts w:hint="eastAsia" w:ascii="仿宋_GB2312" w:hAnsi="宋体" w:eastAsia="仿宋_GB2312" w:cs="宋体"/>
          <w:sz w:val="32"/>
          <w:szCs w:val="32"/>
        </w:rPr>
        <w:t>、收入说明</w:t>
      </w:r>
    </w:p>
    <w:p>
      <w:pPr>
        <w:ind w:firstLine="640"/>
        <w:rPr>
          <w:rFonts w:ascii="仿宋_GB2312" w:hAnsi="Times New Roman" w:eastAsia="仿宋_GB2312" w:cs="Times New Roman"/>
          <w:sz w:val="32"/>
          <w:szCs w:val="32"/>
        </w:rPr>
      </w:pPr>
      <w:r>
        <w:rPr>
          <w:rFonts w:hint="eastAsia" w:ascii="仿宋_GB2312" w:hAnsi="宋体" w:eastAsia="仿宋_GB2312" w:cs="宋体"/>
          <w:sz w:val="32"/>
          <w:szCs w:val="32"/>
        </w:rPr>
        <w:t>反映本部门当年全部收入。</w:t>
      </w:r>
      <w:r>
        <w:rPr>
          <w:rFonts w:ascii="仿宋_GB2312" w:hAnsi="Times New Roman" w:eastAsia="仿宋_GB2312" w:cs="Times New Roman"/>
          <w:sz w:val="32"/>
          <w:szCs w:val="32"/>
        </w:rPr>
        <w:t>2020</w:t>
      </w:r>
      <w:r>
        <w:rPr>
          <w:rFonts w:hint="eastAsia" w:ascii="仿宋_GB2312" w:hAnsi="宋体" w:eastAsia="仿宋_GB2312" w:cs="宋体"/>
          <w:sz w:val="32"/>
          <w:szCs w:val="32"/>
        </w:rPr>
        <w:t>年预算收入</w:t>
      </w:r>
      <w:r>
        <w:rPr>
          <w:rFonts w:ascii="仿宋_GB2312" w:hAnsi="Times New Roman" w:eastAsia="仿宋_GB2312" w:cs="Times New Roman"/>
          <w:sz w:val="32"/>
          <w:szCs w:val="32"/>
        </w:rPr>
        <w:t>566.93</w:t>
      </w:r>
      <w:r>
        <w:rPr>
          <w:rFonts w:hint="eastAsia" w:ascii="仿宋_GB2312" w:hAnsi="宋体" w:eastAsia="仿宋_GB2312" w:cs="宋体"/>
          <w:sz w:val="32"/>
          <w:szCs w:val="32"/>
        </w:rPr>
        <w:t>万元，其中：一般公共预算收入</w:t>
      </w:r>
      <w:r>
        <w:rPr>
          <w:rFonts w:ascii="仿宋_GB2312" w:hAnsi="Times New Roman" w:eastAsia="仿宋_GB2312" w:cs="Times New Roman"/>
          <w:sz w:val="32"/>
          <w:szCs w:val="32"/>
        </w:rPr>
        <w:t>566.93</w:t>
      </w:r>
      <w:r>
        <w:rPr>
          <w:rFonts w:hint="eastAsia" w:ascii="仿宋_GB2312" w:hAnsi="宋体" w:eastAsia="仿宋_GB2312" w:cs="宋体"/>
          <w:sz w:val="32"/>
          <w:szCs w:val="32"/>
        </w:rPr>
        <w:t>万元，基金预算收入</w:t>
      </w:r>
      <w:r>
        <w:rPr>
          <w:rFonts w:ascii="仿宋_GB2312" w:hAnsi="Times New Roman" w:eastAsia="仿宋_GB2312" w:cs="Times New Roman"/>
          <w:sz w:val="32"/>
          <w:szCs w:val="32"/>
        </w:rPr>
        <w:t>0</w:t>
      </w:r>
      <w:r>
        <w:rPr>
          <w:rFonts w:hint="eastAsia" w:ascii="仿宋_GB2312" w:hAnsi="宋体" w:eastAsia="仿宋_GB2312" w:cs="宋体"/>
          <w:sz w:val="32"/>
          <w:szCs w:val="32"/>
        </w:rPr>
        <w:t>万元，财政专户核拨收入</w:t>
      </w:r>
      <w:r>
        <w:rPr>
          <w:rFonts w:ascii="仿宋_GB2312" w:hAnsi="Times New Roman" w:eastAsia="仿宋_GB2312" w:cs="Times New Roman"/>
          <w:sz w:val="32"/>
          <w:szCs w:val="32"/>
        </w:rPr>
        <w:t>0</w:t>
      </w:r>
      <w:r>
        <w:rPr>
          <w:rFonts w:hint="eastAsia" w:ascii="仿宋_GB2312" w:hAnsi="宋体" w:eastAsia="仿宋_GB2312" w:cs="宋体"/>
          <w:sz w:val="32"/>
          <w:szCs w:val="32"/>
        </w:rPr>
        <w:t>万元，其他来源收入</w:t>
      </w:r>
      <w:r>
        <w:rPr>
          <w:rFonts w:ascii="仿宋_GB2312" w:hAnsi="Times New Roman" w:eastAsia="仿宋_GB2312" w:cs="Times New Roman"/>
          <w:sz w:val="32"/>
          <w:szCs w:val="32"/>
        </w:rPr>
        <w:t>0</w:t>
      </w:r>
      <w:r>
        <w:rPr>
          <w:rFonts w:hint="eastAsia" w:ascii="仿宋_GB2312" w:hAnsi="宋体" w:eastAsia="仿宋_GB2312" w:cs="宋体"/>
          <w:sz w:val="32"/>
          <w:szCs w:val="32"/>
        </w:rPr>
        <w:t>万元。</w:t>
      </w:r>
    </w:p>
    <w:p>
      <w:pPr>
        <w:ind w:firstLine="640"/>
        <w:rPr>
          <w:rFonts w:ascii="仿宋_GB2312" w:hAnsi="Times New Roman" w:eastAsia="仿宋_GB2312" w:cs="Times New Roman"/>
          <w:sz w:val="32"/>
          <w:szCs w:val="32"/>
        </w:rPr>
      </w:pPr>
      <w:r>
        <w:rPr>
          <w:rFonts w:ascii="仿宋_GB2312" w:hAnsi="Times New Roman" w:eastAsia="仿宋_GB2312" w:cs="Times New Roman"/>
          <w:sz w:val="32"/>
          <w:szCs w:val="32"/>
        </w:rPr>
        <w:t>2</w:t>
      </w:r>
      <w:r>
        <w:rPr>
          <w:rFonts w:hint="eastAsia" w:ascii="仿宋_GB2312" w:hAnsi="宋体" w:eastAsia="仿宋_GB2312" w:cs="宋体"/>
          <w:sz w:val="32"/>
          <w:szCs w:val="32"/>
        </w:rPr>
        <w:t>、支出说明</w:t>
      </w:r>
    </w:p>
    <w:p>
      <w:pPr>
        <w:ind w:firstLine="640"/>
        <w:rPr>
          <w:rFonts w:ascii="仿宋_GB2312" w:hAnsi="Times New Roman" w:eastAsia="仿宋_GB2312" w:cs="Times New Roman"/>
          <w:sz w:val="32"/>
          <w:szCs w:val="32"/>
        </w:rPr>
      </w:pPr>
      <w:r>
        <w:rPr>
          <w:rFonts w:hint="eastAsia" w:ascii="仿宋_GB2312" w:hAnsi="宋体" w:eastAsia="仿宋_GB2312" w:cs="宋体"/>
          <w:sz w:val="32"/>
          <w:szCs w:val="32"/>
        </w:rPr>
        <w:t>收支预算总表支出栏、基本支出表、项目支出表按经济分类和支出功能分类科目编制，反映灵寿县三圣院乡人民政府年度部门预算中支出预算的总体情况。</w:t>
      </w:r>
      <w:r>
        <w:rPr>
          <w:rFonts w:ascii="仿宋_GB2312" w:hAnsi="Times New Roman" w:eastAsia="仿宋_GB2312" w:cs="Times New Roman"/>
          <w:sz w:val="32"/>
          <w:szCs w:val="32"/>
        </w:rPr>
        <w:t>2020</w:t>
      </w:r>
      <w:r>
        <w:rPr>
          <w:rFonts w:hint="eastAsia" w:ascii="仿宋_GB2312" w:hAnsi="宋体" w:eastAsia="仿宋_GB2312" w:cs="宋体"/>
          <w:sz w:val="32"/>
          <w:szCs w:val="32"/>
        </w:rPr>
        <w:t>年部门支出预算为</w:t>
      </w:r>
      <w:r>
        <w:rPr>
          <w:rFonts w:ascii="仿宋_GB2312" w:hAnsi="Times New Roman" w:eastAsia="仿宋_GB2312" w:cs="Times New Roman"/>
          <w:sz w:val="32"/>
          <w:szCs w:val="32"/>
        </w:rPr>
        <w:t>566.93</w:t>
      </w:r>
      <w:r>
        <w:rPr>
          <w:rFonts w:hint="eastAsia" w:ascii="仿宋_GB2312" w:hAnsi="宋体" w:eastAsia="仿宋_GB2312" w:cs="宋体"/>
          <w:sz w:val="32"/>
          <w:szCs w:val="32"/>
        </w:rPr>
        <w:t>万元，其中基本支出</w:t>
      </w:r>
      <w:r>
        <w:rPr>
          <w:rFonts w:ascii="仿宋_GB2312" w:hAnsi="Times New Roman" w:eastAsia="仿宋_GB2312" w:cs="Times New Roman"/>
          <w:sz w:val="32"/>
          <w:szCs w:val="32"/>
        </w:rPr>
        <w:t>479.99</w:t>
      </w:r>
      <w:r>
        <w:rPr>
          <w:rFonts w:hint="eastAsia" w:ascii="仿宋_GB2312" w:hAnsi="宋体" w:eastAsia="仿宋_GB2312" w:cs="宋体"/>
          <w:sz w:val="32"/>
          <w:szCs w:val="32"/>
        </w:rPr>
        <w:t>万元，包括人员经费</w:t>
      </w:r>
      <w:r>
        <w:rPr>
          <w:rFonts w:ascii="仿宋_GB2312" w:hAnsi="Times New Roman" w:eastAsia="仿宋_GB2312" w:cs="Times New Roman"/>
          <w:sz w:val="32"/>
          <w:szCs w:val="32"/>
        </w:rPr>
        <w:t>423.63</w:t>
      </w:r>
      <w:r>
        <w:rPr>
          <w:rFonts w:hint="eastAsia" w:ascii="仿宋_GB2312" w:hAnsi="宋体" w:eastAsia="仿宋_GB2312" w:cs="宋体"/>
          <w:sz w:val="32"/>
          <w:szCs w:val="32"/>
        </w:rPr>
        <w:t>万元和日常公用经费</w:t>
      </w:r>
      <w:r>
        <w:rPr>
          <w:rFonts w:ascii="仿宋_GB2312" w:hAnsi="Times New Roman" w:eastAsia="仿宋_GB2312" w:cs="Times New Roman"/>
          <w:sz w:val="32"/>
          <w:szCs w:val="32"/>
        </w:rPr>
        <w:t>56.36</w:t>
      </w:r>
      <w:r>
        <w:rPr>
          <w:rFonts w:hint="eastAsia" w:ascii="仿宋_GB2312" w:hAnsi="宋体" w:eastAsia="仿宋_GB2312" w:cs="宋体"/>
          <w:sz w:val="32"/>
          <w:szCs w:val="32"/>
        </w:rPr>
        <w:t>万元；项目支出</w:t>
      </w:r>
      <w:r>
        <w:rPr>
          <w:rFonts w:ascii="仿宋_GB2312" w:hAnsi="Times New Roman" w:eastAsia="仿宋_GB2312" w:cs="Times New Roman"/>
          <w:sz w:val="32"/>
          <w:szCs w:val="32"/>
        </w:rPr>
        <w:t>86.94</w:t>
      </w:r>
      <w:r>
        <w:rPr>
          <w:rFonts w:hint="eastAsia" w:ascii="仿宋_GB2312" w:hAnsi="宋体" w:eastAsia="仿宋_GB2312" w:cs="宋体"/>
          <w:sz w:val="32"/>
          <w:szCs w:val="32"/>
        </w:rPr>
        <w:t>万元，主要为防火经费支出</w:t>
      </w:r>
      <w:r>
        <w:rPr>
          <w:rFonts w:ascii="仿宋_GB2312" w:hAnsi="Times New Roman" w:eastAsia="仿宋_GB2312" w:cs="Times New Roman"/>
          <w:sz w:val="32"/>
          <w:szCs w:val="32"/>
        </w:rPr>
        <w:t>2</w:t>
      </w:r>
      <w:r>
        <w:rPr>
          <w:rFonts w:hint="eastAsia" w:ascii="仿宋_GB2312" w:hAnsi="宋体" w:eastAsia="仿宋_GB2312" w:cs="宋体"/>
          <w:sz w:val="32"/>
          <w:szCs w:val="32"/>
        </w:rPr>
        <w:t>万元，大气污染防治费支出</w:t>
      </w:r>
      <w:r>
        <w:rPr>
          <w:rFonts w:ascii="仿宋_GB2312" w:hAnsi="Times New Roman" w:eastAsia="仿宋_GB2312" w:cs="Times New Roman"/>
          <w:sz w:val="32"/>
          <w:szCs w:val="32"/>
        </w:rPr>
        <w:t>8</w:t>
      </w:r>
      <w:r>
        <w:rPr>
          <w:rFonts w:hint="eastAsia" w:ascii="仿宋_GB2312" w:hAnsi="宋体" w:eastAsia="仿宋_GB2312" w:cs="宋体"/>
          <w:sz w:val="32"/>
          <w:szCs w:val="32"/>
        </w:rPr>
        <w:t>万元，党组织活动经费支出</w:t>
      </w:r>
      <w:r>
        <w:rPr>
          <w:rFonts w:ascii="仿宋_GB2312" w:hAnsi="Times New Roman" w:eastAsia="仿宋_GB2312" w:cs="Times New Roman"/>
          <w:sz w:val="32"/>
          <w:szCs w:val="32"/>
        </w:rPr>
        <w:t>2</w:t>
      </w:r>
      <w:r>
        <w:rPr>
          <w:rFonts w:hint="eastAsia" w:ascii="仿宋_GB2312" w:hAnsi="宋体" w:eastAsia="仿宋_GB2312" w:cs="宋体"/>
          <w:sz w:val="32"/>
          <w:szCs w:val="32"/>
        </w:rPr>
        <w:t>万元，民政经费支出</w:t>
      </w:r>
      <w:r>
        <w:rPr>
          <w:rFonts w:ascii="仿宋_GB2312" w:hAnsi="Times New Roman" w:eastAsia="仿宋_GB2312" w:cs="Times New Roman"/>
          <w:sz w:val="32"/>
          <w:szCs w:val="32"/>
        </w:rPr>
        <w:t>2</w:t>
      </w:r>
      <w:r>
        <w:rPr>
          <w:rFonts w:hint="eastAsia" w:ascii="仿宋_GB2312" w:hAnsi="宋体" w:eastAsia="仿宋_GB2312" w:cs="宋体"/>
          <w:sz w:val="32"/>
          <w:szCs w:val="32"/>
        </w:rPr>
        <w:t>万元，基层武装部规范化建设支出</w:t>
      </w:r>
      <w:r>
        <w:rPr>
          <w:rFonts w:ascii="仿宋_GB2312" w:hAnsi="Times New Roman" w:eastAsia="仿宋_GB2312" w:cs="Times New Roman"/>
          <w:sz w:val="32"/>
          <w:szCs w:val="32"/>
        </w:rPr>
        <w:t>2</w:t>
      </w:r>
      <w:r>
        <w:rPr>
          <w:rFonts w:hint="eastAsia" w:ascii="仿宋_GB2312" w:hAnsi="宋体" w:eastAsia="仿宋_GB2312" w:cs="宋体"/>
          <w:sz w:val="32"/>
          <w:szCs w:val="32"/>
        </w:rPr>
        <w:t>万元，纪检巡察支出</w:t>
      </w:r>
      <w:r>
        <w:rPr>
          <w:rFonts w:ascii="仿宋_GB2312" w:hAnsi="Times New Roman" w:eastAsia="仿宋_GB2312" w:cs="Times New Roman"/>
          <w:sz w:val="32"/>
          <w:szCs w:val="32"/>
        </w:rPr>
        <w:t>4</w:t>
      </w:r>
      <w:r>
        <w:rPr>
          <w:rFonts w:hint="eastAsia" w:ascii="仿宋_GB2312" w:hAnsi="宋体" w:eastAsia="仿宋_GB2312" w:cs="宋体"/>
          <w:sz w:val="32"/>
          <w:szCs w:val="32"/>
        </w:rPr>
        <w:t>万元，妇联支出</w:t>
      </w:r>
      <w:r>
        <w:rPr>
          <w:rFonts w:ascii="仿宋_GB2312" w:hAnsi="Times New Roman" w:eastAsia="仿宋_GB2312" w:cs="Times New Roman"/>
          <w:sz w:val="32"/>
          <w:szCs w:val="32"/>
        </w:rPr>
        <w:t>2</w:t>
      </w:r>
      <w:r>
        <w:rPr>
          <w:rFonts w:hint="eastAsia" w:ascii="仿宋_GB2312" w:hAnsi="宋体" w:eastAsia="仿宋_GB2312" w:cs="宋体"/>
          <w:sz w:val="32"/>
          <w:szCs w:val="32"/>
        </w:rPr>
        <w:t>万元，团委支出</w:t>
      </w:r>
      <w:r>
        <w:rPr>
          <w:rFonts w:ascii="仿宋_GB2312" w:hAnsi="Times New Roman" w:eastAsia="仿宋_GB2312" w:cs="Times New Roman"/>
          <w:sz w:val="32"/>
          <w:szCs w:val="32"/>
        </w:rPr>
        <w:t>2</w:t>
      </w:r>
      <w:r>
        <w:rPr>
          <w:rFonts w:hint="eastAsia" w:ascii="仿宋_GB2312" w:hAnsi="宋体" w:eastAsia="仿宋_GB2312" w:cs="宋体"/>
          <w:sz w:val="32"/>
          <w:szCs w:val="32"/>
        </w:rPr>
        <w:t>万元，综合联防队员用工补贴</w:t>
      </w:r>
      <w:r>
        <w:rPr>
          <w:rFonts w:ascii="仿宋_GB2312" w:hAnsi="Times New Roman" w:eastAsia="仿宋_GB2312" w:cs="Times New Roman"/>
          <w:sz w:val="32"/>
          <w:szCs w:val="32"/>
        </w:rPr>
        <w:t>12.24</w:t>
      </w:r>
      <w:r>
        <w:rPr>
          <w:rFonts w:hint="eastAsia" w:ascii="仿宋_GB2312" w:hAnsi="宋体" w:eastAsia="仿宋_GB2312" w:cs="宋体"/>
          <w:sz w:val="32"/>
          <w:szCs w:val="32"/>
        </w:rPr>
        <w:t>万元，维稳支出</w:t>
      </w:r>
      <w:r>
        <w:rPr>
          <w:rFonts w:ascii="仿宋_GB2312" w:hAnsi="Times New Roman" w:eastAsia="仿宋_GB2312" w:cs="Times New Roman"/>
          <w:sz w:val="32"/>
          <w:szCs w:val="32"/>
        </w:rPr>
        <w:t>5</w:t>
      </w:r>
      <w:r>
        <w:rPr>
          <w:rFonts w:hint="eastAsia" w:ascii="仿宋_GB2312" w:hAnsi="宋体" w:eastAsia="仿宋_GB2312" w:cs="宋体"/>
          <w:sz w:val="32"/>
          <w:szCs w:val="32"/>
        </w:rPr>
        <w:t>万元，三圣院乡环境综合整治项目</w:t>
      </w:r>
      <w:r>
        <w:rPr>
          <w:rFonts w:ascii="仿宋_GB2312" w:hAnsi="宋体" w:eastAsia="仿宋_GB2312" w:cs="宋体"/>
          <w:sz w:val="32"/>
          <w:szCs w:val="32"/>
        </w:rPr>
        <w:t>45.7</w:t>
      </w:r>
      <w:r>
        <w:rPr>
          <w:rFonts w:hint="eastAsia" w:ascii="仿宋_GB2312" w:hAnsi="宋体" w:eastAsia="仿宋_GB2312" w:cs="宋体"/>
          <w:sz w:val="32"/>
          <w:szCs w:val="32"/>
        </w:rPr>
        <w:t>万元。</w:t>
      </w:r>
    </w:p>
    <w:p>
      <w:pPr>
        <w:ind w:firstLine="640"/>
        <w:rPr>
          <w:rFonts w:ascii="仿宋_GB2312" w:hAnsi="Times New Roman" w:eastAsia="仿宋_GB2312" w:cs="Times New Roman"/>
          <w:sz w:val="32"/>
          <w:szCs w:val="32"/>
        </w:rPr>
      </w:pPr>
      <w:r>
        <w:rPr>
          <w:rFonts w:ascii="仿宋_GB2312" w:hAnsi="Times New Roman" w:eastAsia="仿宋_GB2312" w:cs="Times New Roman"/>
          <w:sz w:val="32"/>
          <w:szCs w:val="32"/>
        </w:rPr>
        <w:t>3</w:t>
      </w:r>
      <w:r>
        <w:rPr>
          <w:rFonts w:hint="eastAsia" w:ascii="仿宋_GB2312" w:hAnsi="宋体" w:eastAsia="仿宋_GB2312" w:cs="宋体"/>
          <w:sz w:val="32"/>
          <w:szCs w:val="32"/>
        </w:rPr>
        <w:t>、比上年增减情况</w:t>
      </w:r>
    </w:p>
    <w:p>
      <w:pPr>
        <w:ind w:firstLine="640"/>
        <w:rPr>
          <w:rFonts w:ascii="仿宋_GB2312" w:hAnsi="Times New Roman" w:eastAsia="仿宋_GB2312" w:cs="Times New Roman"/>
          <w:sz w:val="32"/>
          <w:szCs w:val="32"/>
        </w:rPr>
      </w:pPr>
      <w:r>
        <w:rPr>
          <w:rFonts w:ascii="仿宋_GB2312" w:hAnsi="Times New Roman" w:eastAsia="仿宋_GB2312" w:cs="Times New Roman"/>
          <w:color w:val="000000"/>
          <w:sz w:val="32"/>
          <w:szCs w:val="32"/>
        </w:rPr>
        <w:t>2020</w:t>
      </w:r>
      <w:r>
        <w:rPr>
          <w:rFonts w:hint="eastAsia" w:ascii="仿宋_GB2312" w:hAnsi="宋体" w:eastAsia="仿宋_GB2312" w:cs="宋体"/>
          <w:color w:val="000000"/>
          <w:sz w:val="32"/>
          <w:szCs w:val="32"/>
        </w:rPr>
        <w:t>年部门预算收支安排</w:t>
      </w:r>
      <w:r>
        <w:rPr>
          <w:rFonts w:ascii="仿宋_GB2312" w:hAnsi="Times New Roman" w:eastAsia="仿宋_GB2312" w:cs="Times New Roman"/>
          <w:sz w:val="32"/>
          <w:szCs w:val="32"/>
        </w:rPr>
        <w:t>566.93</w:t>
      </w:r>
      <w:r>
        <w:rPr>
          <w:rFonts w:hint="eastAsia" w:ascii="仿宋_GB2312" w:hAnsi="宋体" w:eastAsia="仿宋_GB2312" w:cs="宋体"/>
          <w:color w:val="000000"/>
          <w:sz w:val="32"/>
          <w:szCs w:val="32"/>
        </w:rPr>
        <w:t>万元，</w:t>
      </w:r>
      <w:r>
        <w:rPr>
          <w:rFonts w:hint="eastAsia" w:ascii="仿宋_GB2312" w:hAnsi="宋体" w:eastAsia="仿宋_GB2312" w:cs="宋体"/>
          <w:sz w:val="32"/>
          <w:szCs w:val="32"/>
        </w:rPr>
        <w:t>较</w:t>
      </w:r>
      <w:r>
        <w:rPr>
          <w:rFonts w:ascii="仿宋_GB2312" w:hAnsi="Times New Roman" w:eastAsia="仿宋_GB2312" w:cs="Times New Roman"/>
          <w:sz w:val="32"/>
          <w:szCs w:val="32"/>
        </w:rPr>
        <w:t>2019</w:t>
      </w:r>
      <w:r>
        <w:rPr>
          <w:rFonts w:hint="eastAsia" w:ascii="仿宋_GB2312" w:hAnsi="宋体" w:eastAsia="仿宋_GB2312" w:cs="宋体"/>
          <w:sz w:val="32"/>
          <w:szCs w:val="32"/>
        </w:rPr>
        <w:t>年减少</w:t>
      </w:r>
      <w:r>
        <w:rPr>
          <w:rFonts w:ascii="仿宋_GB2312" w:hAnsi="Times New Roman" w:eastAsia="仿宋_GB2312" w:cs="Times New Roman"/>
          <w:sz w:val="32"/>
          <w:szCs w:val="32"/>
        </w:rPr>
        <w:t>71.94</w:t>
      </w:r>
      <w:r>
        <w:rPr>
          <w:rFonts w:hint="eastAsia" w:ascii="仿宋_GB2312" w:hAnsi="宋体" w:eastAsia="仿宋_GB2312" w:cs="宋体"/>
          <w:sz w:val="32"/>
          <w:szCs w:val="32"/>
        </w:rPr>
        <w:t>万元，其中：基本支出减少</w:t>
      </w:r>
      <w:r>
        <w:rPr>
          <w:rFonts w:ascii="仿宋_GB2312" w:hAnsi="宋体" w:eastAsia="仿宋_GB2312" w:cs="宋体"/>
          <w:sz w:val="32"/>
          <w:szCs w:val="32"/>
        </w:rPr>
        <w:t>13.89</w:t>
      </w:r>
      <w:r>
        <w:rPr>
          <w:rFonts w:hint="eastAsia" w:ascii="仿宋_GB2312" w:hAnsi="宋体" w:eastAsia="仿宋_GB2312" w:cs="宋体"/>
          <w:sz w:val="32"/>
          <w:szCs w:val="32"/>
        </w:rPr>
        <w:t>万元，主要是人员减少，相应减少人员经费；项目支出减少</w:t>
      </w:r>
      <w:r>
        <w:rPr>
          <w:rFonts w:ascii="仿宋_GB2312" w:hAnsi="Times New Roman" w:eastAsia="仿宋_GB2312" w:cs="Times New Roman"/>
          <w:sz w:val="32"/>
          <w:szCs w:val="32"/>
        </w:rPr>
        <w:t>85.83</w:t>
      </w:r>
      <w:r>
        <w:rPr>
          <w:rFonts w:hint="eastAsia" w:ascii="仿宋_GB2312" w:hAnsi="宋体" w:eastAsia="仿宋_GB2312" w:cs="宋体"/>
          <w:sz w:val="32"/>
          <w:szCs w:val="32"/>
        </w:rPr>
        <w:t>万元，主要是减少占地类项目资金；其他支出无增减变化。</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2020</w:t>
      </w:r>
      <w:r>
        <w:rPr>
          <w:rFonts w:hint="eastAsia" w:ascii="仿宋_GB2312" w:hAnsi="宋体" w:eastAsia="仿宋_GB2312" w:cs="宋体"/>
          <w:sz w:val="32"/>
          <w:szCs w:val="32"/>
        </w:rPr>
        <w:t>年，我部门机关运行经费共计安排</w:t>
      </w:r>
      <w:r>
        <w:rPr>
          <w:rFonts w:ascii="仿宋_GB2312" w:hAnsi="Times New Roman" w:eastAsia="仿宋_GB2312" w:cs="Times New Roman"/>
          <w:sz w:val="32"/>
          <w:szCs w:val="32"/>
        </w:rPr>
        <w:t>56.36</w:t>
      </w:r>
      <w:r>
        <w:rPr>
          <w:rFonts w:hint="eastAsia" w:ascii="仿宋_GB2312" w:hAnsi="宋体" w:eastAsia="仿宋_GB2312" w:cs="宋体"/>
          <w:sz w:val="32"/>
          <w:szCs w:val="32"/>
        </w:rPr>
        <w:t>万元，主要用于保证机关正常运转的办公及印刷费、邮电费、差旅费、劳务费、福利费、工会费、办公设备购置费、办公用房水电费、办公用房取暖费、日常维修费、公务车运行维护费等支出。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2020</w:t>
      </w:r>
      <w:r>
        <w:rPr>
          <w:rFonts w:hint="eastAsia" w:ascii="仿宋_GB2312" w:hAnsi="宋体" w:eastAsia="仿宋_GB2312" w:cs="宋体"/>
          <w:sz w:val="32"/>
          <w:szCs w:val="32"/>
        </w:rPr>
        <w:t>年，我部门财政拨款</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三公</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经费预算安排</w:t>
      </w:r>
      <w:r>
        <w:rPr>
          <w:rFonts w:ascii="仿宋_GB2312" w:hAnsi="Times New Roman" w:eastAsia="仿宋_GB2312" w:cs="Times New Roman"/>
          <w:sz w:val="32"/>
          <w:szCs w:val="32"/>
        </w:rPr>
        <w:t>4</w:t>
      </w:r>
      <w:r>
        <w:rPr>
          <w:rFonts w:hint="eastAsia" w:ascii="仿宋_GB2312" w:hAnsi="宋体" w:eastAsia="仿宋_GB2312" w:cs="宋体"/>
          <w:sz w:val="32"/>
          <w:szCs w:val="32"/>
        </w:rPr>
        <w:t>万元，其中：因公出国（境）费</w:t>
      </w:r>
      <w:r>
        <w:rPr>
          <w:rFonts w:ascii="仿宋_GB2312" w:hAnsi="Times New Roman" w:eastAsia="仿宋_GB2312" w:cs="Times New Roman"/>
          <w:sz w:val="32"/>
          <w:szCs w:val="32"/>
        </w:rPr>
        <w:t>0</w:t>
      </w:r>
      <w:r>
        <w:rPr>
          <w:rFonts w:hint="eastAsia" w:ascii="仿宋_GB2312" w:hAnsi="宋体" w:eastAsia="仿宋_GB2312" w:cs="宋体"/>
          <w:sz w:val="32"/>
          <w:szCs w:val="32"/>
        </w:rPr>
        <w:t>万元；公务用车购置及运维费</w:t>
      </w:r>
      <w:r>
        <w:rPr>
          <w:rFonts w:ascii="仿宋_GB2312" w:hAnsi="Times New Roman" w:eastAsia="仿宋_GB2312" w:cs="Times New Roman"/>
          <w:sz w:val="32"/>
          <w:szCs w:val="32"/>
        </w:rPr>
        <w:t>4</w:t>
      </w:r>
      <w:r>
        <w:rPr>
          <w:rFonts w:hint="eastAsia" w:ascii="仿宋_GB2312" w:hAnsi="宋体" w:eastAsia="仿宋_GB2312" w:cs="宋体"/>
          <w:sz w:val="32"/>
          <w:szCs w:val="32"/>
        </w:rPr>
        <w:t>万元（其中：公务用车购置费</w:t>
      </w:r>
      <w:r>
        <w:rPr>
          <w:rFonts w:ascii="仿宋_GB2312" w:hAnsi="Times New Roman" w:eastAsia="仿宋_GB2312" w:cs="Times New Roman"/>
          <w:sz w:val="32"/>
          <w:szCs w:val="32"/>
        </w:rPr>
        <w:t>0</w:t>
      </w:r>
      <w:r>
        <w:rPr>
          <w:rFonts w:hint="eastAsia" w:ascii="仿宋_GB2312" w:hAnsi="宋体" w:eastAsia="仿宋_GB2312" w:cs="宋体"/>
          <w:sz w:val="32"/>
          <w:szCs w:val="32"/>
        </w:rPr>
        <w:t>万元，公务用车运行维护费</w:t>
      </w:r>
      <w:r>
        <w:rPr>
          <w:rFonts w:ascii="仿宋_GB2312" w:hAnsi="Times New Roman" w:eastAsia="仿宋_GB2312" w:cs="Times New Roman"/>
          <w:sz w:val="32"/>
          <w:szCs w:val="32"/>
        </w:rPr>
        <w:t>4</w:t>
      </w:r>
      <w:r>
        <w:rPr>
          <w:rFonts w:hint="eastAsia" w:ascii="仿宋_GB2312" w:hAnsi="宋体" w:eastAsia="仿宋_GB2312" w:cs="宋体"/>
          <w:sz w:val="32"/>
          <w:szCs w:val="32"/>
        </w:rPr>
        <w:t>万元</w:t>
      </w:r>
      <w:r>
        <w:rPr>
          <w:rFonts w:ascii="仿宋_GB2312" w:hAnsi="Times New Roman" w:eastAsia="仿宋_GB2312" w:cs="Times New Roman"/>
          <w:sz w:val="32"/>
          <w:szCs w:val="32"/>
        </w:rPr>
        <w:t>)</w:t>
      </w:r>
      <w:r>
        <w:rPr>
          <w:rFonts w:hint="eastAsia" w:ascii="仿宋_GB2312" w:hAnsi="宋体" w:eastAsia="仿宋_GB2312" w:cs="宋体"/>
          <w:sz w:val="32"/>
          <w:szCs w:val="32"/>
        </w:rPr>
        <w:t>；公务接待费</w:t>
      </w:r>
      <w:r>
        <w:rPr>
          <w:rFonts w:ascii="仿宋_GB2312" w:hAnsi="Times New Roman" w:eastAsia="仿宋_GB2312" w:cs="Times New Roman"/>
          <w:sz w:val="32"/>
          <w:szCs w:val="32"/>
        </w:rPr>
        <w:t>0</w:t>
      </w:r>
      <w:r>
        <w:rPr>
          <w:rFonts w:hint="eastAsia" w:ascii="仿宋_GB2312" w:hAnsi="宋体" w:eastAsia="仿宋_GB2312" w:cs="宋体"/>
          <w:sz w:val="32"/>
          <w:szCs w:val="32"/>
        </w:rPr>
        <w:t>万元。</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三公</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经费与上年持平，无增减变化。</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autoSpaceDE w:val="0"/>
        <w:autoSpaceDN w:val="0"/>
        <w:adjustRightInd w:val="0"/>
        <w:ind w:firstLine="640" w:firstLineChars="200"/>
        <w:jc w:val="left"/>
        <w:rPr>
          <w:rFonts w:ascii="黑体" w:hAnsi="黑体" w:eastAsia="黑体" w:cs="Times New Roman"/>
          <w:sz w:val="32"/>
          <w:szCs w:val="32"/>
        </w:rPr>
      </w:pPr>
      <w:bookmarkStart w:id="0" w:name="_Toc471398463"/>
      <w:r>
        <w:rPr>
          <w:rFonts w:hint="eastAsia" w:ascii="黑体" w:hAnsi="黑体" w:eastAsia="黑体" w:cs="黑体"/>
          <w:sz w:val="32"/>
          <w:szCs w:val="32"/>
        </w:rPr>
        <w:t>第一部分</w:t>
      </w:r>
      <w:r>
        <w:rPr>
          <w:rFonts w:ascii="黑体" w:hAnsi="黑体" w:eastAsia="黑体" w:cs="黑体"/>
          <w:sz w:val="32"/>
          <w:szCs w:val="32"/>
        </w:rPr>
        <w:t xml:space="preserve">  </w:t>
      </w:r>
      <w:r>
        <w:rPr>
          <w:rFonts w:hint="eastAsia" w:ascii="黑体" w:hAnsi="黑体" w:eastAsia="黑体" w:cs="黑体"/>
          <w:sz w:val="32"/>
          <w:szCs w:val="32"/>
        </w:rPr>
        <w:t>部门整体绩效目标</w:t>
      </w:r>
    </w:p>
    <w:p>
      <w:pPr>
        <w:autoSpaceDE w:val="0"/>
        <w:autoSpaceDN w:val="0"/>
        <w:adjustRightInd w:val="0"/>
        <w:ind w:firstLine="643" w:firstLineChars="200"/>
        <w:jc w:val="left"/>
        <w:rPr>
          <w:rFonts w:ascii="仿宋_GB2312" w:eastAsia="仿宋_GB2312" w:cs="宋体"/>
          <w:b/>
          <w:sz w:val="32"/>
          <w:szCs w:val="32"/>
        </w:rPr>
      </w:pPr>
      <w:r>
        <w:rPr>
          <w:rFonts w:hint="eastAsia" w:ascii="仿宋_GB2312" w:hAnsi="宋体" w:eastAsia="仿宋_GB2312" w:cs="宋体"/>
          <w:b/>
          <w:sz w:val="32"/>
          <w:szCs w:val="32"/>
        </w:rPr>
        <w:t>（一）总体绩效目标</w:t>
      </w:r>
    </w:p>
    <w:p>
      <w:pPr>
        <w:autoSpaceDE w:val="0"/>
        <w:autoSpaceDN w:val="0"/>
        <w:adjustRightInd w:val="0"/>
        <w:ind w:firstLine="640" w:firstLineChars="200"/>
        <w:jc w:val="left"/>
        <w:rPr>
          <w:rFonts w:ascii="仿宋_GB2312" w:hAnsi="宋体" w:eastAsia="仿宋_GB2312" w:cs="宋体"/>
          <w:sz w:val="32"/>
          <w:szCs w:val="32"/>
        </w:rPr>
      </w:pPr>
      <w:r>
        <w:rPr>
          <w:rFonts w:hint="eastAsia" w:ascii="仿宋_GB2312" w:hAnsi="宋体" w:eastAsia="仿宋_GB2312" w:cs="宋体"/>
          <w:sz w:val="32"/>
          <w:szCs w:val="32"/>
        </w:rPr>
        <w:t>做好环境保护、防火、安全生产、防汛、安保、民生保障等各方面工作，围绕打造“生态宜居、物流商贸、产业聚集”中心城乡目标，确保上级各项政策措施在三圣院乡落地见效，实现三圣院乡高标准、高质量、高水平发展。继续深化改革创新，防范化解重大风险，加强作风建设，积极进取、奋发有为，努力开创新时代三圣院乡全面工作的新局面。</w:t>
      </w:r>
    </w:p>
    <w:p>
      <w:pPr>
        <w:autoSpaceDE w:val="0"/>
        <w:autoSpaceDN w:val="0"/>
        <w:adjustRightInd w:val="0"/>
        <w:ind w:firstLine="643" w:firstLineChars="200"/>
        <w:jc w:val="left"/>
        <w:rPr>
          <w:rFonts w:ascii="仿宋_GB2312" w:eastAsia="仿宋_GB2312" w:cs="宋体"/>
          <w:b/>
          <w:sz w:val="32"/>
          <w:szCs w:val="32"/>
        </w:rPr>
      </w:pPr>
      <w:r>
        <w:rPr>
          <w:rFonts w:hint="eastAsia" w:ascii="仿宋_GB2312" w:hAnsi="宋体" w:eastAsia="仿宋_GB2312" w:cs="宋体"/>
          <w:b/>
          <w:sz w:val="32"/>
          <w:szCs w:val="32"/>
        </w:rPr>
        <w:t>（二）分项绩效目标</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1</w:t>
      </w:r>
      <w:r>
        <w:rPr>
          <w:rFonts w:hint="eastAsia" w:ascii="仿宋_GB2312" w:hAnsi="宋体" w:eastAsia="仿宋_GB2312" w:cs="宋体"/>
          <w:sz w:val="32"/>
          <w:szCs w:val="32"/>
        </w:rPr>
        <w:t>、抓好落实信访工做。</w:t>
      </w:r>
    </w:p>
    <w:p>
      <w:pPr>
        <w:autoSpaceDE w:val="0"/>
        <w:autoSpaceDN w:val="0"/>
        <w:adjustRightInd w:val="0"/>
        <w:ind w:firstLine="640" w:firstLineChars="200"/>
        <w:jc w:val="left"/>
        <w:rPr>
          <w:rFonts w:ascii="仿宋_GB2312" w:eastAsia="仿宋_GB2312" w:cs="宋体"/>
          <w:sz w:val="32"/>
          <w:szCs w:val="32"/>
        </w:rPr>
      </w:pPr>
      <w:r>
        <w:rPr>
          <w:rFonts w:hint="eastAsia" w:ascii="仿宋_GB2312" w:hAnsi="宋体" w:eastAsia="仿宋_GB2312" w:cs="宋体"/>
          <w:sz w:val="32"/>
          <w:szCs w:val="32"/>
        </w:rPr>
        <w:t>绩效目标：抓好信访稳定、扫黑除恶、退役军人服务管理等工作，确保社会大局稳定。</w:t>
      </w:r>
    </w:p>
    <w:p>
      <w:pPr>
        <w:autoSpaceDE w:val="0"/>
        <w:autoSpaceDN w:val="0"/>
        <w:adjustRightInd w:val="0"/>
        <w:ind w:firstLine="640" w:firstLineChars="200"/>
        <w:jc w:val="left"/>
        <w:rPr>
          <w:rFonts w:ascii="仿宋_GB2312" w:hAnsi="宋体" w:eastAsia="仿宋_GB2312" w:cs="宋体"/>
          <w:sz w:val="32"/>
          <w:szCs w:val="32"/>
        </w:rPr>
      </w:pPr>
      <w:r>
        <w:rPr>
          <w:rFonts w:hint="eastAsia" w:ascii="仿宋_GB2312" w:hAnsi="宋体" w:eastAsia="仿宋_GB2312" w:cs="宋体"/>
          <w:sz w:val="32"/>
          <w:szCs w:val="32"/>
        </w:rPr>
        <w:t>绩效指标：重点监控稳定上访户，着力排查、调解矛盾纠纷，减少矛盾纠纷数量，做到非正常上访‘零’目标。</w:t>
      </w:r>
      <w:r>
        <w:rPr>
          <w:rFonts w:ascii="仿宋_GB2312" w:hAnsi="宋体" w:eastAsia="仿宋_GB2312" w:cs="宋体"/>
          <w:sz w:val="32"/>
          <w:szCs w:val="32"/>
        </w:rPr>
        <w:t xml:space="preserve">  </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2</w:t>
      </w:r>
      <w:r>
        <w:rPr>
          <w:rFonts w:hint="eastAsia" w:ascii="仿宋_GB2312" w:hAnsi="宋体" w:eastAsia="仿宋_GB2312" w:cs="宋体"/>
          <w:sz w:val="32"/>
          <w:szCs w:val="32"/>
        </w:rPr>
        <w:t>、夯实党建工作基础。</w:t>
      </w:r>
    </w:p>
    <w:p>
      <w:pPr>
        <w:autoSpaceDE w:val="0"/>
        <w:autoSpaceDN w:val="0"/>
        <w:adjustRightInd w:val="0"/>
        <w:ind w:firstLine="640" w:firstLineChars="200"/>
        <w:jc w:val="left"/>
        <w:rPr>
          <w:rFonts w:ascii="仿宋_GB2312" w:eastAsia="仿宋_GB2312" w:cs="宋体"/>
          <w:sz w:val="32"/>
          <w:szCs w:val="32"/>
        </w:rPr>
      </w:pPr>
      <w:r>
        <w:rPr>
          <w:rFonts w:hint="eastAsia" w:ascii="仿宋_GB2312" w:hAnsi="宋体" w:eastAsia="仿宋_GB2312" w:cs="宋体"/>
          <w:sz w:val="32"/>
          <w:szCs w:val="32"/>
        </w:rPr>
        <w:t>绩效目标：保证党组织活动正常开展，发展新党员，为党输入新鲜血液，同时提高党员干部思想政治觉悟。</w:t>
      </w:r>
    </w:p>
    <w:p>
      <w:pPr>
        <w:autoSpaceDE w:val="0"/>
        <w:autoSpaceDN w:val="0"/>
        <w:adjustRightInd w:val="0"/>
        <w:ind w:firstLine="640" w:firstLineChars="200"/>
        <w:jc w:val="left"/>
        <w:rPr>
          <w:rFonts w:ascii="仿宋_GB2312" w:eastAsia="仿宋_GB2312" w:cs="宋体"/>
          <w:sz w:val="32"/>
          <w:szCs w:val="32"/>
        </w:rPr>
      </w:pPr>
      <w:r>
        <w:rPr>
          <w:rFonts w:hint="eastAsia" w:ascii="仿宋_GB2312" w:hAnsi="宋体" w:eastAsia="仿宋_GB2312" w:cs="宋体"/>
          <w:sz w:val="32"/>
          <w:szCs w:val="32"/>
        </w:rPr>
        <w:t>绩效指标：组织乡内部人员、村两委干部以及青年人才集中培训</w:t>
      </w:r>
      <w:r>
        <w:rPr>
          <w:rFonts w:ascii="仿宋_GB2312" w:hAnsi="宋体" w:eastAsia="仿宋_GB2312" w:cs="宋体"/>
          <w:sz w:val="32"/>
          <w:szCs w:val="32"/>
        </w:rPr>
        <w:t>6</w:t>
      </w:r>
      <w:r>
        <w:rPr>
          <w:rFonts w:hint="eastAsia" w:ascii="仿宋_GB2312" w:hAnsi="宋体" w:eastAsia="仿宋_GB2312" w:cs="宋体"/>
          <w:sz w:val="32"/>
          <w:szCs w:val="32"/>
        </w:rPr>
        <w:t>次；落实党委书记谈心谈话制度，做到累计谈党组织书记</w:t>
      </w:r>
      <w:r>
        <w:rPr>
          <w:rFonts w:ascii="仿宋_GB2312" w:hAnsi="宋体" w:eastAsia="仿宋_GB2312" w:cs="宋体"/>
          <w:sz w:val="32"/>
          <w:szCs w:val="32"/>
        </w:rPr>
        <w:t>70</w:t>
      </w:r>
      <w:r>
        <w:rPr>
          <w:rFonts w:hint="eastAsia" w:ascii="仿宋_GB2312" w:hAnsi="宋体" w:eastAsia="仿宋_GB2312" w:cs="宋体"/>
          <w:sz w:val="32"/>
          <w:szCs w:val="32"/>
        </w:rPr>
        <w:t>人次；在全乡开展</w:t>
      </w:r>
      <w:r>
        <w:rPr>
          <w:rFonts w:hint="eastAsia" w:ascii="仿宋_GB2312" w:eastAsia="仿宋_GB2312" w:cs="宋体"/>
          <w:sz w:val="32"/>
          <w:szCs w:val="32"/>
        </w:rPr>
        <w:t>“</w:t>
      </w:r>
      <w:r>
        <w:rPr>
          <w:rFonts w:hint="eastAsia" w:ascii="仿宋_GB2312" w:hAnsi="宋体" w:eastAsia="仿宋_GB2312" w:cs="宋体"/>
          <w:sz w:val="32"/>
          <w:szCs w:val="32"/>
        </w:rPr>
        <w:t>四合一拉练</w:t>
      </w:r>
      <w:r>
        <w:rPr>
          <w:rFonts w:hint="eastAsia" w:ascii="仿宋_GB2312" w:eastAsia="仿宋_GB2312" w:cs="宋体"/>
          <w:sz w:val="32"/>
          <w:szCs w:val="32"/>
        </w:rPr>
        <w:t>”</w:t>
      </w:r>
      <w:r>
        <w:rPr>
          <w:rFonts w:hint="eastAsia" w:ascii="仿宋_GB2312" w:hAnsi="宋体" w:eastAsia="仿宋_GB2312" w:cs="宋体"/>
          <w:sz w:val="32"/>
          <w:szCs w:val="32"/>
        </w:rPr>
        <w:t>现场观摩会、</w:t>
      </w:r>
      <w:r>
        <w:rPr>
          <w:rFonts w:hint="eastAsia" w:ascii="仿宋_GB2312" w:eastAsia="仿宋_GB2312" w:cs="宋体"/>
          <w:sz w:val="32"/>
          <w:szCs w:val="32"/>
        </w:rPr>
        <w:t>“</w:t>
      </w:r>
      <w:r>
        <w:rPr>
          <w:rFonts w:hint="eastAsia" w:ascii="仿宋_GB2312" w:hAnsi="宋体" w:eastAsia="仿宋_GB2312" w:cs="宋体"/>
          <w:sz w:val="32"/>
          <w:szCs w:val="32"/>
        </w:rPr>
        <w:t>三比一争</w:t>
      </w:r>
      <w:r>
        <w:rPr>
          <w:rFonts w:hint="eastAsia" w:ascii="仿宋_GB2312" w:eastAsia="仿宋_GB2312" w:cs="宋体"/>
          <w:sz w:val="32"/>
          <w:szCs w:val="32"/>
        </w:rPr>
        <w:t>”</w:t>
      </w:r>
      <w:r>
        <w:rPr>
          <w:rFonts w:hint="eastAsia" w:ascii="仿宋_GB2312" w:hAnsi="宋体" w:eastAsia="仿宋_GB2312" w:cs="宋体"/>
          <w:sz w:val="32"/>
          <w:szCs w:val="32"/>
        </w:rPr>
        <w:t>等活动，利用农村青年人才服务中心发展各村党员。</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3</w:t>
      </w:r>
      <w:r>
        <w:rPr>
          <w:rFonts w:hint="eastAsia" w:ascii="仿宋_GB2312" w:hAnsi="宋体" w:eastAsia="仿宋_GB2312" w:cs="宋体"/>
          <w:sz w:val="32"/>
          <w:szCs w:val="32"/>
        </w:rPr>
        <w:t>、持续发力做好扶贫工作。</w:t>
      </w:r>
    </w:p>
    <w:p>
      <w:pPr>
        <w:autoSpaceDE w:val="0"/>
        <w:autoSpaceDN w:val="0"/>
        <w:adjustRightInd w:val="0"/>
        <w:ind w:firstLine="640" w:firstLineChars="200"/>
        <w:jc w:val="left"/>
        <w:rPr>
          <w:rFonts w:ascii="仿宋_GB2312" w:eastAsia="仿宋_GB2312" w:cs="宋体"/>
          <w:sz w:val="32"/>
          <w:szCs w:val="32"/>
        </w:rPr>
      </w:pPr>
      <w:r>
        <w:rPr>
          <w:rFonts w:hint="eastAsia" w:ascii="仿宋_GB2312" w:hAnsi="宋体" w:eastAsia="仿宋_GB2312" w:cs="宋体"/>
          <w:sz w:val="32"/>
          <w:szCs w:val="32"/>
        </w:rPr>
        <w:t>绩效目标：善始善终做好扶贫工作，巩固脱贫成果，咬定目标不放松，落实措施再发力，为全面进入小康社会奠定坚实基础。</w:t>
      </w:r>
    </w:p>
    <w:p>
      <w:pPr>
        <w:autoSpaceDE w:val="0"/>
        <w:autoSpaceDN w:val="0"/>
        <w:adjustRightInd w:val="0"/>
        <w:ind w:firstLine="640" w:firstLineChars="200"/>
        <w:jc w:val="left"/>
        <w:rPr>
          <w:rFonts w:ascii="仿宋_GB2312" w:eastAsia="仿宋_GB2312" w:cs="宋体"/>
          <w:sz w:val="32"/>
          <w:szCs w:val="32"/>
        </w:rPr>
      </w:pPr>
      <w:r>
        <w:rPr>
          <w:rFonts w:hint="eastAsia" w:ascii="仿宋_GB2312" w:hAnsi="宋体" w:eastAsia="仿宋_GB2312" w:cs="宋体"/>
          <w:sz w:val="32"/>
          <w:szCs w:val="32"/>
        </w:rPr>
        <w:t>绩效指标：通过不断梳理、过网筛查，对全乡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4</w:t>
      </w:r>
      <w:r>
        <w:rPr>
          <w:rFonts w:hint="eastAsia" w:ascii="仿宋_GB2312" w:hAnsi="宋体" w:eastAsia="仿宋_GB2312" w:cs="宋体"/>
          <w:sz w:val="32"/>
          <w:szCs w:val="32"/>
        </w:rPr>
        <w:t>、扎实推进乡村振兴战略。</w:t>
      </w:r>
    </w:p>
    <w:p>
      <w:pPr>
        <w:autoSpaceDE w:val="0"/>
        <w:autoSpaceDN w:val="0"/>
        <w:adjustRightInd w:val="0"/>
        <w:ind w:firstLine="640" w:firstLineChars="200"/>
        <w:jc w:val="left"/>
        <w:rPr>
          <w:rFonts w:ascii="仿宋_GB2312" w:eastAsia="仿宋_GB2312" w:cs="宋体"/>
          <w:sz w:val="32"/>
          <w:szCs w:val="32"/>
        </w:rPr>
      </w:pPr>
      <w:r>
        <w:rPr>
          <w:rFonts w:hint="eastAsia" w:ascii="仿宋_GB2312" w:hAnsi="宋体" w:eastAsia="仿宋_GB2312" w:cs="宋体"/>
          <w:sz w:val="32"/>
          <w:szCs w:val="32"/>
        </w:rPr>
        <w:t>绩效目标：对标小康社会建设目标，统筹谋划好乡村振兴。对三圣院乡</w:t>
      </w:r>
      <w:r>
        <w:rPr>
          <w:rFonts w:ascii="仿宋_GB2312" w:hAnsi="宋体" w:eastAsia="仿宋_GB2312" w:cs="宋体"/>
          <w:sz w:val="32"/>
          <w:szCs w:val="32"/>
        </w:rPr>
        <w:t>10</w:t>
      </w:r>
      <w:r>
        <w:rPr>
          <w:rFonts w:hint="eastAsia" w:ascii="仿宋_GB2312" w:hAnsi="宋体" w:eastAsia="仿宋_GB2312" w:cs="宋体"/>
          <w:sz w:val="32"/>
          <w:szCs w:val="32"/>
        </w:rPr>
        <w:t>个村进行统筹规划，划定各村发展前景。</w:t>
      </w:r>
    </w:p>
    <w:p>
      <w:pPr>
        <w:autoSpaceDE w:val="0"/>
        <w:autoSpaceDN w:val="0"/>
        <w:adjustRightInd w:val="0"/>
        <w:ind w:firstLine="640" w:firstLineChars="200"/>
        <w:jc w:val="left"/>
        <w:rPr>
          <w:rFonts w:ascii="仿宋_GB2312" w:eastAsia="仿宋_GB2312" w:cs="宋体"/>
          <w:sz w:val="32"/>
          <w:szCs w:val="32"/>
        </w:rPr>
      </w:pPr>
      <w:r>
        <w:rPr>
          <w:rFonts w:hint="eastAsia" w:ascii="仿宋_GB2312" w:hAnsi="宋体" w:eastAsia="仿宋_GB2312" w:cs="宋体"/>
          <w:sz w:val="32"/>
          <w:szCs w:val="32"/>
        </w:rPr>
        <w:t>绩效指标：进一步统筹推进空心村治理、一户一宅摸底统计、厕所革命、集体经济合同清理、人居环境整治、危房改造、产业结构调整等工作。预计下一步改厕工作将全面完成；</w:t>
      </w:r>
      <w:r>
        <w:rPr>
          <w:rFonts w:ascii="仿宋_GB2312" w:hAnsi="宋体" w:eastAsia="仿宋_GB2312" w:cs="宋体"/>
          <w:sz w:val="32"/>
          <w:szCs w:val="32"/>
        </w:rPr>
        <w:t>10</w:t>
      </w:r>
      <w:r>
        <w:rPr>
          <w:rFonts w:hint="eastAsia" w:ascii="仿宋_GB2312" w:hAnsi="宋体" w:eastAsia="仿宋_GB2312" w:cs="宋体"/>
          <w:sz w:val="32"/>
          <w:szCs w:val="32"/>
        </w:rPr>
        <w:t>村村容村貌明显改善；散乱污企业清零；继续推进车谷砣旅游区、杨家台旅游区等重点旅游项目完善推广。</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5</w:t>
      </w:r>
      <w:r>
        <w:rPr>
          <w:rFonts w:hint="eastAsia" w:ascii="仿宋_GB2312" w:hAnsi="宋体" w:eastAsia="仿宋_GB2312" w:cs="宋体"/>
          <w:sz w:val="32"/>
          <w:szCs w:val="32"/>
        </w:rPr>
        <w:t>、社会专项事务管理服务水平稳步提升。</w:t>
      </w:r>
    </w:p>
    <w:p>
      <w:pPr>
        <w:autoSpaceDE w:val="0"/>
        <w:autoSpaceDN w:val="0"/>
        <w:adjustRightInd w:val="0"/>
        <w:ind w:firstLine="640" w:firstLineChars="200"/>
        <w:jc w:val="left"/>
        <w:rPr>
          <w:rFonts w:ascii="仿宋_GB2312" w:eastAsia="仿宋_GB2312" w:cs="宋体"/>
          <w:sz w:val="32"/>
          <w:szCs w:val="32"/>
        </w:rPr>
      </w:pPr>
      <w:r>
        <w:rPr>
          <w:rFonts w:hint="eastAsia" w:ascii="仿宋_GB2312" w:hAnsi="宋体" w:eastAsia="仿宋_GB2312" w:cs="宋体"/>
          <w:sz w:val="32"/>
          <w:szCs w:val="32"/>
        </w:rPr>
        <w:t>绩效目标：做好森林防火、民生保障等基础管理服务工作。</w:t>
      </w:r>
    </w:p>
    <w:p>
      <w:pPr>
        <w:autoSpaceDE w:val="0"/>
        <w:autoSpaceDN w:val="0"/>
        <w:adjustRightInd w:val="0"/>
        <w:ind w:firstLine="640" w:firstLineChars="200"/>
        <w:jc w:val="left"/>
        <w:rPr>
          <w:rFonts w:ascii="仿宋_GB2312" w:eastAsia="仿宋_GB2312" w:cs="宋体"/>
          <w:sz w:val="32"/>
          <w:szCs w:val="32"/>
        </w:rPr>
      </w:pPr>
      <w:r>
        <w:rPr>
          <w:rFonts w:hint="eastAsia" w:ascii="仿宋_GB2312" w:hAnsi="宋体" w:eastAsia="仿宋_GB2312" w:cs="宋体"/>
          <w:sz w:val="32"/>
          <w:szCs w:val="32"/>
        </w:rPr>
        <w:t>绩效指标：加强宣传与巡逻工作，提高居民对防火知识的了解程度在</w:t>
      </w:r>
      <w:r>
        <w:rPr>
          <w:rFonts w:ascii="仿宋_GB2312" w:hAnsi="宋体" w:eastAsia="仿宋_GB2312" w:cs="宋体"/>
          <w:sz w:val="32"/>
          <w:szCs w:val="32"/>
        </w:rPr>
        <w:t>95%</w:t>
      </w:r>
      <w:r>
        <w:rPr>
          <w:rFonts w:hint="eastAsia" w:ascii="仿宋_GB2312" w:hAnsi="宋体" w:eastAsia="仿宋_GB2312" w:cs="宋体"/>
          <w:sz w:val="32"/>
          <w:szCs w:val="32"/>
        </w:rPr>
        <w:t>以上，确保全乡火灾发生面积占全乡面积总量的比例低于</w:t>
      </w:r>
      <w:r>
        <w:rPr>
          <w:rFonts w:ascii="仿宋_GB2312" w:hAnsi="宋体" w:eastAsia="仿宋_GB2312" w:cs="宋体"/>
          <w:sz w:val="32"/>
          <w:szCs w:val="32"/>
        </w:rPr>
        <w:t>0.3%</w:t>
      </w:r>
      <w:r>
        <w:rPr>
          <w:rFonts w:hint="eastAsia" w:ascii="仿宋_GB2312" w:hAnsi="宋体" w:eastAsia="仿宋_GB2312" w:cs="宋体"/>
          <w:sz w:val="32"/>
          <w:szCs w:val="32"/>
        </w:rPr>
        <w:t>。入户核查困难残疾人、重度残疾人、低保户、五保户，保证</w:t>
      </w:r>
      <w:r>
        <w:rPr>
          <w:rFonts w:ascii="仿宋_GB2312" w:hAnsi="宋体" w:eastAsia="仿宋_GB2312" w:cs="宋体"/>
          <w:sz w:val="32"/>
          <w:szCs w:val="32"/>
        </w:rPr>
        <w:t>95%</w:t>
      </w:r>
      <w:r>
        <w:rPr>
          <w:rFonts w:hint="eastAsia" w:ascii="仿宋_GB2312" w:hAnsi="宋体" w:eastAsia="仿宋_GB2312" w:cs="宋体"/>
          <w:sz w:val="32"/>
          <w:szCs w:val="32"/>
        </w:rPr>
        <w:t>以上该享受人员享受困难补贴，使得困难群众生活水平有所提升，保障民生工作有序进行。</w:t>
      </w:r>
    </w:p>
    <w:p>
      <w:pPr>
        <w:autoSpaceDE w:val="0"/>
        <w:autoSpaceDN w:val="0"/>
        <w:adjustRightInd w:val="0"/>
        <w:ind w:firstLine="643" w:firstLineChars="200"/>
        <w:jc w:val="left"/>
        <w:rPr>
          <w:rFonts w:ascii="仿宋_GB2312" w:eastAsia="仿宋_GB2312" w:cs="宋体"/>
          <w:b/>
          <w:sz w:val="32"/>
          <w:szCs w:val="32"/>
        </w:rPr>
      </w:pPr>
      <w:r>
        <w:rPr>
          <w:rFonts w:hint="eastAsia" w:ascii="仿宋_GB2312" w:hAnsi="宋体" w:eastAsia="仿宋_GB2312" w:cs="宋体"/>
          <w:b/>
          <w:sz w:val="32"/>
          <w:szCs w:val="32"/>
        </w:rPr>
        <w:t>（三）工作保障措施</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1</w:t>
      </w:r>
      <w:r>
        <w:rPr>
          <w:rFonts w:hint="eastAsia" w:ascii="仿宋_GB2312" w:hAnsi="宋体" w:eastAsia="仿宋_GB2312" w:cs="宋体"/>
          <w:sz w:val="32"/>
          <w:szCs w:val="32"/>
        </w:rPr>
        <w:t>、完善制度建设。本部门将</w:t>
      </w:r>
      <w:r>
        <w:rPr>
          <w:rFonts w:hint="eastAsia" w:ascii="仿宋_GB2312" w:hAnsi="宋体" w:eastAsia="仿宋_GB2312" w:cs="宋体"/>
          <w:sz w:val="32"/>
          <w:szCs w:val="32"/>
          <w:lang w:eastAsia="zh-CN"/>
        </w:rPr>
        <w:t>制订</w:t>
      </w:r>
      <w:r>
        <w:rPr>
          <w:rFonts w:hint="eastAsia" w:ascii="仿宋_GB2312" w:hAnsi="宋体" w:eastAsia="仿宋_GB2312" w:cs="宋体"/>
          <w:sz w:val="32"/>
          <w:szCs w:val="32"/>
        </w:rPr>
        <w:t>《全面推进预算绩效管理工作实施方案》，严格按照预算绩效管理制度、资金管理办法、工作保障制度等制度，提高单位领导对全面预算制度管理的重视程度，为全年预算绩效目标的实现奠定制度基础。</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2</w:t>
      </w:r>
      <w:r>
        <w:rPr>
          <w:rFonts w:hint="eastAsia" w:ascii="仿宋_GB2312" w:hAnsi="宋体" w:eastAsia="仿宋_GB2312" w:cs="宋体"/>
          <w:sz w:val="32"/>
          <w:szCs w:val="32"/>
        </w:rP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3</w:t>
      </w:r>
      <w:r>
        <w:rPr>
          <w:rFonts w:hint="eastAsia" w:ascii="仿宋_GB2312" w:hAnsi="宋体" w:eastAsia="仿宋_GB2312" w:cs="宋体"/>
          <w:sz w:val="32"/>
          <w:szCs w:val="32"/>
        </w:rP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4</w:t>
      </w:r>
      <w:r>
        <w:rPr>
          <w:rFonts w:hint="eastAsia" w:ascii="仿宋_GB2312" w:hAnsi="宋体" w:eastAsia="仿宋_GB2312" w:cs="宋体"/>
          <w:sz w:val="32"/>
          <w:szCs w:val="32"/>
        </w:rP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5</w:t>
      </w:r>
      <w:r>
        <w:rPr>
          <w:rFonts w:hint="eastAsia" w:ascii="仿宋_GB2312" w:hAnsi="宋体" w:eastAsia="仿宋_GB2312" w:cs="宋体"/>
          <w:sz w:val="32"/>
          <w:szCs w:val="32"/>
        </w:rPr>
        <w:t>、规范财务资产管理。完善本部门财务管理制度，严格财政审批程序，加强固定资产登记、使用和报废处置管理，做到支出合理，物尽其用。</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6</w:t>
      </w:r>
      <w:r>
        <w:rPr>
          <w:rFonts w:hint="eastAsia" w:ascii="仿宋_GB2312" w:hAnsi="宋体" w:eastAsia="仿宋_GB2312" w:cs="宋体"/>
          <w:sz w:val="32"/>
          <w:szCs w:val="32"/>
        </w:rP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pPr>
        <w:autoSpaceDE w:val="0"/>
        <w:autoSpaceDN w:val="0"/>
        <w:adjustRightInd w:val="0"/>
        <w:ind w:firstLine="640" w:firstLineChars="200"/>
        <w:jc w:val="left"/>
        <w:rPr>
          <w:rFonts w:ascii="仿宋_GB2312" w:eastAsia="仿宋_GB2312" w:cs="宋体"/>
          <w:sz w:val="32"/>
          <w:szCs w:val="32"/>
        </w:rPr>
      </w:pPr>
      <w:r>
        <w:rPr>
          <w:rFonts w:ascii="仿宋_GB2312" w:hAnsi="宋体" w:eastAsia="仿宋_GB2312" w:cs="宋体"/>
          <w:sz w:val="32"/>
          <w:szCs w:val="32"/>
        </w:rPr>
        <w:t>7</w:t>
      </w:r>
      <w:r>
        <w:rPr>
          <w:rFonts w:hint="eastAsia" w:ascii="仿宋_GB2312" w:hAnsi="宋体" w:eastAsia="仿宋_GB2312" w:cs="宋体"/>
          <w:sz w:val="32"/>
          <w:szCs w:val="32"/>
        </w:rPr>
        <w:t>、加强宣传培训调研等。加强人员培训，提高本部门职工业务素质；加强调研，提出优化财政资金配置、提高资金使用效益的</w:t>
      </w:r>
      <w:bookmarkStart w:id="2" w:name="_GoBack"/>
      <w:bookmarkEnd w:id="2"/>
      <w:r>
        <w:rPr>
          <w:rFonts w:hint="eastAsia" w:ascii="仿宋_GB2312" w:hAnsi="宋体" w:eastAsia="仿宋_GB2312" w:cs="宋体"/>
          <w:sz w:val="32"/>
          <w:szCs w:val="32"/>
          <w:lang w:eastAsia="zh-CN"/>
        </w:rPr>
        <w:t>意见</w:t>
      </w:r>
      <w:r>
        <w:rPr>
          <w:rFonts w:hint="eastAsia" w:ascii="仿宋_GB2312" w:hAnsi="宋体" w:eastAsia="仿宋_GB2312" w:cs="宋体"/>
          <w:sz w:val="32"/>
          <w:szCs w:val="32"/>
        </w:rPr>
        <w:t>；加大宣传力度，强化预算绩效管理意识，促进预算绩效管理水平进一步提升。</w:t>
      </w:r>
    </w:p>
    <w:p>
      <w:pPr>
        <w:autoSpaceDE w:val="0"/>
        <w:autoSpaceDN w:val="0"/>
        <w:adjustRightInd w:val="0"/>
        <w:ind w:left="198"/>
        <w:jc w:val="left"/>
        <w:rPr>
          <w:rFonts w:ascii="Times New Roman" w:hAnsi="Times New Roman" w:eastAsia="方正仿宋_GBK" w:cs="Times New Roman"/>
          <w:b/>
          <w:bCs/>
          <w:sz w:val="32"/>
          <w:szCs w:val="32"/>
        </w:rPr>
      </w:pPr>
      <w:r>
        <w:rPr>
          <w:rFonts w:ascii="仿宋_GB2312" w:hAnsi="Times New Roman" w:eastAsia="仿宋_GB2312" w:cs="Times New Roman"/>
          <w:b/>
          <w:bCs/>
          <w:sz w:val="32"/>
          <w:szCs w:val="32"/>
        </w:rPr>
        <w:br w:type="page"/>
      </w:r>
      <w:r>
        <w:rPr>
          <w:rFonts w:hint="eastAsia" w:ascii="Times New Roman" w:hAnsi="Times New Roman" w:eastAsia="方正仿宋_GBK" w:cs="方正仿宋_GBK"/>
          <w:b/>
          <w:bCs/>
          <w:sz w:val="32"/>
          <w:szCs w:val="32"/>
        </w:rPr>
        <w:t>第二部分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预算项目绩效目标</w:t>
      </w:r>
    </w:p>
    <w:bookmarkEnd w:id="0"/>
    <w:p>
      <w:pPr>
        <w:jc w:val="center"/>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1</w:t>
      </w:r>
      <w:r>
        <w:rPr>
          <w:rFonts w:hint="eastAsia" w:ascii="方正仿宋_GBK" w:eastAsia="方正仿宋_GBK" w:cs="方正仿宋_GBK"/>
          <w:b/>
          <w:bCs/>
          <w:sz w:val="28"/>
          <w:szCs w:val="28"/>
        </w:rPr>
        <w:t>、大气污染防治经费绩效目标表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、减少污染物排放量，洒水抑尘使我乡大气污染指数降低。</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、计划重点污染行业排查率达到</w:t>
            </w:r>
            <w:r>
              <w:rPr>
                <w:rFonts w:ascii="方正书宋_GBK" w:eastAsia="方正书宋_GBK" w:cs="方正书宋_GBK"/>
              </w:rPr>
              <w:t>95%</w:t>
            </w:r>
            <w:r>
              <w:rPr>
                <w:rFonts w:hint="eastAsia" w:ascii="方正书宋_GBK" w:eastAsia="方正书宋_GBK" w:cs="方正书宋_GBK"/>
              </w:rPr>
              <w:t>以上。</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污染企业治理数量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污染企业治理个数</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5</w:t>
            </w:r>
            <w:r>
              <w:rPr>
                <w:rFonts w:hint="eastAsia" w:ascii="方正书宋_GBK" w:eastAsia="方正书宋_GBK" w:cs="方正书宋_GBK"/>
              </w:rPr>
              <w:t>个</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灵政函【</w:t>
            </w:r>
            <w:r>
              <w:rPr>
                <w:rFonts w:ascii="方正书宋_GBK" w:eastAsia="方正书宋_GBK" w:cs="方正书宋_GBK"/>
              </w:rPr>
              <w:t>2019</w:t>
            </w:r>
            <w:r>
              <w:rPr>
                <w:rFonts w:hint="eastAsia" w:ascii="方正书宋_GBK" w:eastAsia="方正书宋_GBK" w:cs="方正书宋_GBK"/>
              </w:rPr>
              <w:t>】</w:t>
            </w:r>
            <w:r>
              <w:rPr>
                <w:rFonts w:ascii="方正书宋_GBK" w:eastAsia="方正书宋_GBK" w:cs="方正书宋_GBK"/>
              </w:rPr>
              <w:t>67</w:t>
            </w:r>
            <w:r>
              <w:rPr>
                <w:rFonts w:hint="eastAsia" w:ascii="方正书宋_GBK" w:eastAsia="方正书宋_GBK" w:cs="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重点污染行业排查率（</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重点污染行业排查率（</w:t>
            </w:r>
            <w:r>
              <w:rPr>
                <w:rFonts w:ascii="方正书宋_GBK" w:eastAsia="方正书宋_GBK" w:cs="方正书宋_GBK"/>
              </w:rPr>
              <w:t>%</w:t>
            </w:r>
            <w:r>
              <w:rPr>
                <w:rFonts w:hint="eastAsia" w:ascii="方正书宋_GBK" w:eastAsia="方正书宋_GBK" w:cs="方正书宋_GBK"/>
              </w:rPr>
              <w:t>）</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生态效益指标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污染物排放降低率（</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污染物排放总量同期下降比率（</w:t>
            </w:r>
            <w:r>
              <w:rPr>
                <w:rFonts w:ascii="方正书宋_GBK" w:eastAsia="方正书宋_GBK" w:cs="方正书宋_GBK"/>
              </w:rPr>
              <w:t>%</w:t>
            </w:r>
            <w:r>
              <w:rPr>
                <w:rFonts w:hint="eastAsia" w:ascii="方正书宋_GBK" w:eastAsia="方正书宋_GBK" w:cs="方正书宋_GBK"/>
              </w:rPr>
              <w:t>）</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8%</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灵政函【</w:t>
            </w:r>
            <w:r>
              <w:rPr>
                <w:rFonts w:ascii="方正书宋_GBK" w:eastAsia="方正书宋_GBK" w:cs="方正书宋_GBK"/>
              </w:rPr>
              <w:t>2019</w:t>
            </w:r>
            <w:r>
              <w:rPr>
                <w:rFonts w:hint="eastAsia" w:ascii="方正书宋_GBK" w:eastAsia="方正书宋_GBK" w:cs="方正书宋_GBK"/>
              </w:rPr>
              <w:t>】</w:t>
            </w:r>
            <w:r>
              <w:rPr>
                <w:rFonts w:ascii="方正书宋_GBK" w:eastAsia="方正书宋_GBK" w:cs="方正书宋_GBK"/>
              </w:rPr>
              <w:t>67</w:t>
            </w:r>
            <w:r>
              <w:rPr>
                <w:rFonts w:hint="eastAsia" w:ascii="方正书宋_GBK" w:eastAsia="方正书宋_GBK" w:cs="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可持续影响指标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全年空气优良天数增长情况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全年空气优良天数同比增长数（天）</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15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受益对象满意度（</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通过问卷调查，满意和较满意的受益对象占全部调研对象的比例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2</w:t>
      </w:r>
      <w:r>
        <w:rPr>
          <w:rFonts w:hint="eastAsia" w:ascii="方正仿宋_GBK" w:eastAsia="方正仿宋_GBK" w:cs="方正仿宋_GBK"/>
          <w:b/>
          <w:bCs/>
          <w:sz w:val="28"/>
          <w:szCs w:val="28"/>
        </w:rPr>
        <w:t>、党组织活动经费绩效目标表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、通过项目实施，使我乡党员干部提高思想政治觉悟。</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、保证党组织活动正常开展，发展新党员，为党输入新鲜血液。</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党员干部覆盖率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重要活动乡镇党员干部参加人数占乡镇党员干部总数的比例</w:t>
            </w:r>
          </w:p>
        </w:tc>
        <w:tc>
          <w:tcPr>
            <w:tcW w:w="1276" w:type="dxa"/>
            <w:vAlign w:val="center"/>
          </w:tcPr>
          <w:p>
            <w:pPr>
              <w:spacing w:line="300" w:lineRule="exact"/>
              <w:jc w:val="left"/>
              <w:rPr>
                <w:rFonts w:ascii="方正书宋_GBK" w:eastAsia="方正书宋_GBK" w:cs="方正书宋_GBK"/>
              </w:rPr>
            </w:pPr>
            <w:r>
              <w:rPr>
                <w:rFonts w:hint="eastAsia" w:ascii="宋体" w:hAnsi="宋体" w:cs="宋体"/>
                <w:color w:val="000000"/>
                <w:kern w:val="0"/>
                <w:sz w:val="20"/>
                <w:szCs w:val="20"/>
              </w:rPr>
              <w:t>≥</w:t>
            </w:r>
            <w:r>
              <w:rPr>
                <w:rFonts w:ascii="方正书宋_GBK" w:eastAsia="方正书宋_GBK" w:cs="方正书宋_GBK"/>
              </w:rPr>
              <w:t>80%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思想教育活动完成率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年度内已完成的思想教育活动量占计划量的比例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参训党员素质能力提升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参训党员素质能力提升情况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有效提升</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乡镇基层党组织活动保障率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对乡镇基层党组织活动的保障程度</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受益对象满意度（</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通过问卷调查，满意和较满意的受益对象占全部调研对象的比例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3</w:t>
      </w:r>
      <w:r>
        <w:rPr>
          <w:rFonts w:hint="eastAsia" w:ascii="方正仿宋_GBK" w:eastAsia="方正仿宋_GBK" w:cs="方正仿宋_GBK"/>
          <w:b/>
          <w:bCs/>
          <w:sz w:val="28"/>
          <w:szCs w:val="28"/>
        </w:rPr>
        <w:t>、防火经费绩效目标表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、进行防火宣传，真正做到</w:t>
            </w:r>
            <w:r>
              <w:rPr>
                <w:rFonts w:ascii="方正书宋_GBK" w:eastAsia="方正书宋_GBK"/>
              </w:rPr>
              <w:t>“</w:t>
            </w:r>
            <w:r>
              <w:rPr>
                <w:rFonts w:hint="eastAsia" w:ascii="方正书宋_GBK" w:eastAsia="方正书宋_GBK" w:cs="方正书宋_GBK"/>
              </w:rPr>
              <w:t>不着一把火，不冒一股烟。</w:t>
            </w:r>
            <w:r>
              <w:rPr>
                <w:rFonts w:ascii="方正书宋_GBK" w:eastAsia="方正书宋_GBK"/>
              </w:rPr>
              <w:t>”</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、保证全乡火灾发生面积占全乡面积总量比例小于</w:t>
            </w:r>
            <w:r>
              <w:rPr>
                <w:rFonts w:ascii="方正书宋_GBK" w:eastAsia="方正书宋_GBK" w:cs="方正书宋_GBK"/>
              </w:rPr>
              <w:t>0.3%</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制作宣传条幅以及书写标语数量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制作宣传条幅以及书写标语数量</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1000</w:t>
            </w:r>
            <w:r>
              <w:rPr>
                <w:rFonts w:hint="eastAsia" w:ascii="方正书宋_GBK" w:eastAsia="方正书宋_GBK" w:cs="方正书宋_GBK"/>
              </w:rPr>
              <w:t>条</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防火期间巡逻天数（天）</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巡逻车巡逻天数</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180</w:t>
            </w:r>
            <w:r>
              <w:rPr>
                <w:rFonts w:hint="eastAsia" w:ascii="方正书宋_GBK" w:eastAsia="方正书宋_GBK" w:cs="方正书宋_GBK"/>
              </w:rPr>
              <w:t>天</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生态效益指标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火灾受害率（</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全乡火灾发生面积占全乡面积总量的比例</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&lt;0.3%</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居民防火知识知晓率（</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居民对防火知识的了解程度</w:t>
            </w:r>
          </w:p>
        </w:tc>
        <w:tc>
          <w:tcPr>
            <w:tcW w:w="1276" w:type="dxa"/>
            <w:vAlign w:val="center"/>
          </w:tcPr>
          <w:p>
            <w:pPr>
              <w:spacing w:line="300" w:lineRule="exact"/>
              <w:jc w:val="left"/>
              <w:rPr>
                <w:rFonts w:ascii="方正书宋_GBK" w:eastAsia="方正书宋_GBK" w:cs="方正书宋_GBK"/>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受益对象满意度（</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通过问卷调查，满意和较满意的受益对象占全部调研对象的比例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4</w:t>
      </w:r>
      <w:r>
        <w:rPr>
          <w:rFonts w:hint="eastAsia" w:ascii="方正仿宋_GBK" w:eastAsia="方正仿宋_GBK" w:cs="方正仿宋_GBK"/>
          <w:b/>
          <w:bCs/>
          <w:sz w:val="28"/>
          <w:szCs w:val="28"/>
        </w:rPr>
        <w:t>、妇联经费绩效目标表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、维护妇女儿童的合法权益。</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、关爱慰问困难妇女和留守儿童。</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慰问困难妇女和留守儿童的数量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慰问困难妇女和留守儿童的个数</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3</w:t>
            </w:r>
            <w:r>
              <w:rPr>
                <w:rFonts w:hint="eastAsia" w:ascii="方正书宋_GBK" w:eastAsia="方正书宋_GBK" w:cs="方正书宋_GBK"/>
              </w:rPr>
              <w:t>个</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重大节日活动完成率（</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重大节日活动完成率（</w:t>
            </w:r>
            <w:r>
              <w:rPr>
                <w:rFonts w:ascii="方正书宋_GBK" w:eastAsia="方正书宋_GBK" w:cs="方正书宋_GBK"/>
              </w:rPr>
              <w:t>%</w:t>
            </w:r>
            <w:r>
              <w:rPr>
                <w:rFonts w:hint="eastAsia" w:ascii="方正书宋_GBK" w:eastAsia="方正书宋_GBK" w:cs="方正书宋_GBK"/>
              </w:rPr>
              <w:t>）</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慰问对象覆盖率（</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实际慰问人数占应慰问人数的比率（</w:t>
            </w:r>
            <w:r>
              <w:rPr>
                <w:rFonts w:ascii="方正书宋_GBK" w:eastAsia="方正书宋_GBK" w:cs="方正书宋_GBK"/>
              </w:rPr>
              <w:t>%</w:t>
            </w:r>
            <w:r>
              <w:rPr>
                <w:rFonts w:hint="eastAsia" w:ascii="方正书宋_GBK" w:eastAsia="方正书宋_GBK" w:cs="方正书宋_GBK"/>
              </w:rPr>
              <w:t>）</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可持续影响指标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妇女儿童的合法权益受保护情况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妇女儿童的合法权益实际受保护情况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有效保护</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受益帮扶对象满意度（</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通过问卷调查，满意和较满意的受益对象占全部调研对象的比例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5</w:t>
      </w:r>
      <w:r>
        <w:rPr>
          <w:rFonts w:hint="eastAsia" w:ascii="方正仿宋_GBK" w:eastAsia="方正仿宋_GBK" w:cs="方正仿宋_GBK"/>
          <w:b/>
          <w:bCs/>
          <w:sz w:val="28"/>
          <w:szCs w:val="28"/>
        </w:rPr>
        <w:t>、基层武装部规范化建设经费绩效目标表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、保障基层武装部工作的正常运转</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、完成兵役登记任务和征兵工作任务</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兵役登记人数比例</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实际登记人数占应登记人数比例</w:t>
            </w:r>
          </w:p>
        </w:tc>
        <w:tc>
          <w:tcPr>
            <w:tcW w:w="1276" w:type="dxa"/>
            <w:vAlign w:val="center"/>
          </w:tcPr>
          <w:p>
            <w:pPr>
              <w:spacing w:line="300" w:lineRule="exact"/>
              <w:jc w:val="left"/>
              <w:rPr>
                <w:rFonts w:ascii="方正书宋_GBK" w:eastAsia="方正书宋_GBK" w:cs="方正书宋_GBK"/>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实际服兵役人数比例</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实际完成征兵任务比例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基层武装部工作保障情况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对基层武装部工作正常运转的保障情况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有效保障</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突发紧急事件应对情况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对基层突发紧急事件如防火、防汛等情况是否有效应对</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有效应对</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服兵役家庭对基层武装工作满意度</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6</w:t>
      </w:r>
      <w:r>
        <w:rPr>
          <w:rFonts w:hint="eastAsia" w:ascii="方正仿宋_GBK" w:eastAsia="方正仿宋_GBK" w:cs="方正仿宋_GBK"/>
          <w:b/>
          <w:bCs/>
          <w:sz w:val="28"/>
          <w:szCs w:val="28"/>
        </w:rPr>
        <w:t>、纪检巡察经费绩效目标表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、扎捆滚动监督检查和延伸巡察，每年实施至少</w:t>
            </w:r>
            <w:r>
              <w:rPr>
                <w:rFonts w:ascii="方正书宋_GBK" w:eastAsia="方正书宋_GBK" w:cs="方正书宋_GBK"/>
              </w:rPr>
              <w:t>2</w:t>
            </w:r>
            <w:r>
              <w:rPr>
                <w:rFonts w:hint="eastAsia" w:ascii="方正书宋_GBK" w:eastAsia="方正书宋_GBK" w:cs="方正书宋_GBK"/>
              </w:rPr>
              <w:t>次，每年对所辖村（居）全覆盖一遍。</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、通过各项纪检、监察工作的开展，政治监督作用得到有效发挥。</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全面巡视次数</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根据市县要求，开展的全面巡视的数量</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2</w:t>
            </w:r>
            <w:r>
              <w:rPr>
                <w:rFonts w:hint="eastAsia" w:ascii="方正书宋_GBK" w:eastAsia="方正书宋_GBK" w:cs="方正书宋_GBK"/>
              </w:rPr>
              <w:t>次</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中共灵寿县纪委、灵寿县监委印发的《关于在全县开展扎捆滚动监督检查工作的实施方案》的通知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检查工作完成率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完成检查任务占检查计划的比例（</w:t>
            </w:r>
            <w:r>
              <w:rPr>
                <w:rFonts w:ascii="方正书宋_GBK" w:eastAsia="方正书宋_GBK" w:cs="方正书宋_GBK"/>
              </w:rPr>
              <w:t>%</w:t>
            </w:r>
            <w:r>
              <w:rPr>
                <w:rFonts w:hint="eastAsia" w:ascii="方正书宋_GBK" w:eastAsia="方正书宋_GBK" w:cs="方正书宋_GBK"/>
              </w:rPr>
              <w:t>）</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监督效能发挥情况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通过各项纪检、监察工作的开展，政治监督作用的发挥情况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有效发挥</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中共灵寿县纪委、灵寿县监委印发的《关于在全县开展扎捆滚动监督检查工作的实施方案》的通知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正风防腐成效提升情况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通过各项纪检、监察工作的开展，正风防腐的成效实际提升情况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有效提升</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7</w:t>
      </w:r>
      <w:r>
        <w:rPr>
          <w:rFonts w:hint="eastAsia" w:ascii="方正仿宋_GBK" w:eastAsia="方正仿宋_GBK" w:cs="方正仿宋_GBK"/>
          <w:b/>
          <w:bCs/>
          <w:sz w:val="28"/>
          <w:szCs w:val="28"/>
        </w:rPr>
        <w:t>、民政经费绩效目标表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、农村低保五保等困难群体做到应保尽保。</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、按照补助标准，确保资金及时足额申报发放，使受助群体生活条件得到改善，受益对象达到满意。</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申请低保人员核查率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入户核查数占新增低保申请数的比例。</w:t>
            </w:r>
          </w:p>
        </w:tc>
        <w:tc>
          <w:tcPr>
            <w:tcW w:w="1276" w:type="dxa"/>
            <w:vAlign w:val="center"/>
          </w:tcPr>
          <w:p>
            <w:pPr>
              <w:spacing w:line="300" w:lineRule="exact"/>
              <w:jc w:val="left"/>
              <w:rPr>
                <w:rFonts w:ascii="方正书宋_GBK" w:eastAsia="方正书宋_GBK" w:cs="方正书宋_GBK"/>
              </w:rPr>
            </w:pPr>
            <w:r>
              <w:rPr>
                <w:rFonts w:hint="eastAsia" w:ascii="宋体" w:hAnsi="宋体" w:cs="宋体"/>
                <w:color w:val="000000"/>
                <w:kern w:val="0"/>
                <w:sz w:val="20"/>
                <w:szCs w:val="20"/>
              </w:rPr>
              <w:t>≥</w:t>
            </w:r>
            <w:r>
              <w:rPr>
                <w:rFonts w:ascii="方正书宋_GBK" w:eastAsia="方正书宋_GBK" w:cs="方正书宋_GBK"/>
              </w:rPr>
              <w:t>100%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《河北省民政厅关于印发〈河北省城乡居民最低生活保障家庭经济状况核算与评估办法（试行）〉的通知》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困难残疾人和重度残疾人保障率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符合条件的困难残疾人和重度残疾人纳入补贴范围的比例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100%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《河北省人民政府</w:t>
            </w:r>
            <w:r>
              <w:rPr>
                <w:rFonts w:ascii="方正书宋_GBK" w:eastAsia="方正书宋_GBK" w:cs="方正书宋_GBK"/>
              </w:rPr>
              <w:t xml:space="preserve"> </w:t>
            </w:r>
            <w:r>
              <w:rPr>
                <w:rFonts w:hint="eastAsia" w:ascii="方正书宋_GBK" w:eastAsia="方正书宋_GBK" w:cs="方正书宋_GBK"/>
              </w:rPr>
              <w:t>关于全面建立困难残疾人生活补贴和重度</w:t>
            </w:r>
            <w:r>
              <w:rPr>
                <w:rFonts w:ascii="方正书宋_GBK" w:eastAsia="方正书宋_GBK" w:cs="方正书宋_GBK"/>
              </w:rPr>
              <w:t xml:space="preserve"> </w:t>
            </w:r>
            <w:r>
              <w:rPr>
                <w:rFonts w:hint="eastAsia" w:ascii="方正书宋_GBK" w:eastAsia="方正书宋_GBK" w:cs="方正书宋_GBK"/>
              </w:rPr>
              <w:t>残疾人护理补贴制度的实施意见》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困难群众生活水平提升情况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困难群众生活水平实际提升情况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稳步提升</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政策落实率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实际政策落实人数占应落实政策人数的比率</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救助对象的满意度</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救助对象满意度调查结果为满意以上的比例。</w:t>
            </w:r>
          </w:p>
        </w:tc>
        <w:tc>
          <w:tcPr>
            <w:tcW w:w="1276" w:type="dxa"/>
            <w:vAlign w:val="center"/>
          </w:tcPr>
          <w:p>
            <w:pPr>
              <w:spacing w:line="300" w:lineRule="exact"/>
              <w:jc w:val="left"/>
              <w:rPr>
                <w:rFonts w:ascii="方正书宋_GBK" w:eastAsia="方正书宋_GBK" w:cs="方正书宋_GBK"/>
              </w:rPr>
            </w:pPr>
            <w:r>
              <w:rPr>
                <w:rFonts w:hint="eastAsia" w:ascii="宋体" w:hAnsi="宋体" w:cs="宋体"/>
                <w:color w:val="000000"/>
                <w:kern w:val="0"/>
                <w:sz w:val="20"/>
                <w:szCs w:val="20"/>
              </w:rPr>
              <w:t>≥</w:t>
            </w:r>
            <w:r>
              <w:rPr>
                <w:rFonts w:ascii="方正书宋_GBK" w:eastAsia="方正书宋_GBK" w:cs="方正书宋_GBK"/>
              </w:rPr>
              <w:t>85%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8</w:t>
      </w:r>
      <w:r>
        <w:rPr>
          <w:rFonts w:hint="eastAsia" w:ascii="方正仿宋_GBK" w:eastAsia="方正仿宋_GBK" w:cs="方正仿宋_GBK"/>
          <w:b/>
          <w:bCs/>
          <w:sz w:val="28"/>
          <w:szCs w:val="28"/>
        </w:rPr>
        <w:t>、三圣院乡环境综合整治项目绩效目标表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、对辖区内生产生活垃圾，违章建筑、小广告等及时清理</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、村庄环境得到明显改善</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垃圾清运数量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实际垃圾清运量</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15000</w:t>
            </w:r>
            <w:r>
              <w:rPr>
                <w:rFonts w:hint="eastAsia" w:ascii="方正书宋_GBK" w:eastAsia="方正书宋_GBK" w:cs="方正书宋_GBK"/>
              </w:rPr>
              <w:t>方</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当年完成率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实际完成率</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受益人口数量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实际收益人口</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6000</w:t>
            </w:r>
            <w:r>
              <w:rPr>
                <w:rFonts w:hint="eastAsia" w:ascii="方正书宋_GBK" w:eastAsia="方正书宋_GBK" w:cs="方正书宋_GBK"/>
              </w:rPr>
              <w:t>人</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农村环境改善情况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农村环境较以前改善情况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明显改善</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受益群众满意度</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通过问卷调查，满意和较满意的受益对象占全部调研对象的比例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9</w:t>
      </w:r>
      <w:r>
        <w:rPr>
          <w:rFonts w:hint="eastAsia" w:ascii="方正仿宋_GBK" w:eastAsia="方正仿宋_GBK" w:cs="方正仿宋_GBK"/>
          <w:b/>
          <w:bCs/>
          <w:sz w:val="28"/>
          <w:szCs w:val="28"/>
        </w:rPr>
        <w:t>、团委经费绩效目标表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、引导青年培育和践行社会主义核心价值观</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、开展各类关爱留守儿童、失亲儿童、贫困儿童等系列助学行动</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帮扶青少年儿童的数量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帮扶青少年儿童的个数</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3</w:t>
            </w:r>
            <w:r>
              <w:rPr>
                <w:rFonts w:hint="eastAsia" w:ascii="方正书宋_GBK" w:eastAsia="方正书宋_GBK" w:cs="方正书宋_GBK"/>
              </w:rPr>
              <w:t>个</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灵办发【</w:t>
            </w:r>
            <w:r>
              <w:rPr>
                <w:rFonts w:ascii="方正书宋_GBK" w:eastAsia="方正书宋_GBK" w:cs="方正书宋_GBK"/>
              </w:rPr>
              <w:t>2017</w:t>
            </w:r>
            <w:r>
              <w:rPr>
                <w:rFonts w:hint="eastAsia" w:ascii="方正书宋_GBK" w:eastAsia="方正书宋_GBK" w:cs="方正书宋_GBK"/>
              </w:rPr>
              <w:t>】</w:t>
            </w:r>
            <w:r>
              <w:rPr>
                <w:rFonts w:ascii="方正书宋_GBK" w:eastAsia="方正书宋_GBK" w:cs="方正书宋_GBK"/>
              </w:rPr>
              <w:t>16</w:t>
            </w:r>
            <w:r>
              <w:rPr>
                <w:rFonts w:hint="eastAsia" w:ascii="方正书宋_GBK" w:eastAsia="方正书宋_GBK" w:cs="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重要节点活动完成率（</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重要节点活动完成率（</w:t>
            </w:r>
            <w:r>
              <w:rPr>
                <w:rFonts w:ascii="方正书宋_GBK" w:eastAsia="方正书宋_GBK" w:cs="方正书宋_GBK"/>
              </w:rPr>
              <w:t>%</w:t>
            </w:r>
            <w:r>
              <w:rPr>
                <w:rFonts w:hint="eastAsia" w:ascii="方正书宋_GBK" w:eastAsia="方正书宋_GBK" w:cs="方正书宋_GBK"/>
              </w:rPr>
              <w:t>）</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提高青少年法律意识</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有效提高青少年法律意识</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有效提高</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灵办发【</w:t>
            </w:r>
            <w:r>
              <w:rPr>
                <w:rFonts w:ascii="方正书宋_GBK" w:eastAsia="方正书宋_GBK" w:cs="方正书宋_GBK"/>
              </w:rPr>
              <w:t>2017</w:t>
            </w:r>
            <w:r>
              <w:rPr>
                <w:rFonts w:hint="eastAsia" w:ascii="方正书宋_GBK" w:eastAsia="方正书宋_GBK" w:cs="方正书宋_GBK"/>
              </w:rPr>
              <w:t>】</w:t>
            </w:r>
            <w:r>
              <w:rPr>
                <w:rFonts w:ascii="方正书宋_GBK" w:eastAsia="方正书宋_GBK" w:cs="方正书宋_GBK"/>
              </w:rPr>
              <w:t>16</w:t>
            </w:r>
            <w:r>
              <w:rPr>
                <w:rFonts w:hint="eastAsia" w:ascii="方正书宋_GBK" w:eastAsia="方正书宋_GBK" w:cs="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可持续影响指标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青少年犯罪减少情况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青少年犯罪同比上年减少数量</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2</w:t>
            </w:r>
            <w:r>
              <w:rPr>
                <w:rFonts w:hint="eastAsia" w:ascii="方正书宋_GBK" w:eastAsia="方正书宋_GBK" w:cs="方正书宋_GBK"/>
              </w:rPr>
              <w:t>起</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受益帮扶对象满意度（</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通过问卷调查，满意和较满意的受益对象占全部调研对象的比例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10</w:t>
      </w:r>
      <w:r>
        <w:rPr>
          <w:rFonts w:hint="eastAsia" w:ascii="方正仿宋_GBK" w:eastAsia="方正仿宋_GBK" w:cs="方正仿宋_GBK"/>
          <w:b/>
          <w:bCs/>
          <w:sz w:val="28"/>
          <w:szCs w:val="28"/>
        </w:rPr>
        <w:t>、维稳经费绩效目标表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、提高我乡综合维稳工作水平，确保我乡信访任务完成率达</w:t>
            </w:r>
            <w:r>
              <w:rPr>
                <w:rFonts w:ascii="方正书宋_GBK" w:eastAsia="方正书宋_GBK" w:cs="方正书宋_GBK"/>
              </w:rPr>
              <w:t>90%</w:t>
            </w:r>
            <w:r>
              <w:rPr>
                <w:rFonts w:hint="eastAsia" w:ascii="方正书宋_GBK" w:eastAsia="方正书宋_GBK" w:cs="方正书宋_GBK"/>
              </w:rPr>
              <w:t>以上，营造和谐稳定的社会环境</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、保证我乡居民对越级上访造成后果的了解程度有所提高</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重大信访事务完成率（</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完成的信访任务占总信访任务的比例</w:t>
            </w:r>
          </w:p>
        </w:tc>
        <w:tc>
          <w:tcPr>
            <w:tcW w:w="1276" w:type="dxa"/>
            <w:vAlign w:val="center"/>
          </w:tcPr>
          <w:p>
            <w:pPr>
              <w:spacing w:line="300" w:lineRule="exact"/>
              <w:jc w:val="left"/>
              <w:rPr>
                <w:rFonts w:ascii="方正书宋_GBK" w:eastAsia="方正书宋_GBK" w:cs="方正书宋_GBK"/>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重大时期，矛盾纠纷调解率（</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调解矛盾纠纷的数量占排查矛盾纠纷总量的比例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确保</w:t>
            </w:r>
            <w:r>
              <w:rPr>
                <w:rFonts w:ascii="方正书宋_GBK" w:eastAsia="方正书宋_GBK" w:cs="方正书宋_GBK"/>
              </w:rPr>
              <w:t>0</w:t>
            </w:r>
            <w:r>
              <w:rPr>
                <w:rFonts w:hint="eastAsia" w:ascii="方正书宋_GBK" w:eastAsia="方正书宋_GBK" w:cs="方正书宋_GBK"/>
              </w:rPr>
              <w:t>上访率（次）</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重点非正常上访</w:t>
            </w:r>
            <w:r>
              <w:rPr>
                <w:rFonts w:ascii="方正书宋_GBK" w:eastAsia="方正书宋_GBK"/>
              </w:rPr>
              <w:t>‘</w:t>
            </w:r>
            <w:r>
              <w:rPr>
                <w:rFonts w:hint="eastAsia" w:ascii="方正书宋_GBK" w:eastAsia="方正书宋_GBK" w:cs="方正书宋_GBK"/>
              </w:rPr>
              <w:t>零</w:t>
            </w:r>
            <w:r>
              <w:rPr>
                <w:rFonts w:ascii="方正书宋_GBK" w:eastAsia="方正书宋_GBK"/>
              </w:rPr>
              <w:t>’</w:t>
            </w:r>
            <w:r>
              <w:rPr>
                <w:rFonts w:hint="eastAsia" w:ascii="方正书宋_GBK" w:eastAsia="方正书宋_GBK" w:cs="方正书宋_GBK"/>
              </w:rPr>
              <w:t>目标</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0</w:t>
            </w:r>
            <w:r>
              <w:rPr>
                <w:rFonts w:hint="eastAsia" w:ascii="方正书宋_GBK" w:eastAsia="方正书宋_GBK" w:cs="方正书宋_GBK"/>
              </w:rPr>
              <w:t>次</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居民对越级上访所造成后果的了解程度</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居民对越级上访造成后果的了解程度是否提高</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有所提高</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信访人员满意度（</w:t>
            </w:r>
            <w:r>
              <w:rPr>
                <w:rFonts w:ascii="方正书宋_GBK" w:eastAsia="方正书宋_GBK" w:cs="方正书宋_GBK"/>
              </w:rPr>
              <w:t>%</w:t>
            </w:r>
            <w:r>
              <w:rPr>
                <w:rFonts w:hint="eastAsia"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调查中满意和较为满意的信访人员占总调查人数的比例</w:t>
            </w: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cs="Times New Roman"/>
        </w:rPr>
      </w:pPr>
    </w:p>
    <w:p>
      <w:pPr>
        <w:ind w:firstLine="560" w:firstLineChars="200"/>
        <w:jc w:val="left"/>
        <w:outlineLvl w:val="1"/>
        <w:rPr>
          <w:rFonts w:hAnsi="宋体" w:cs="Times New Roman"/>
          <w:b/>
          <w:bCs/>
          <w:sz w:val="28"/>
          <w:szCs w:val="28"/>
        </w:rPr>
      </w:pPr>
      <w:r>
        <w:rPr>
          <w:rFonts w:ascii="方正仿宋_GBK" w:eastAsia="方正仿宋_GBK" w:cs="方正仿宋_GBK"/>
          <w:b/>
          <w:bCs/>
          <w:sz w:val="28"/>
          <w:szCs w:val="28"/>
        </w:rPr>
        <w:t>11</w:t>
      </w:r>
      <w:r>
        <w:rPr>
          <w:rFonts w:hint="eastAsia" w:ascii="方正仿宋_GBK" w:eastAsia="方正仿宋_GBK" w:cs="方正仿宋_GBK"/>
          <w:b/>
          <w:bCs/>
          <w:sz w:val="28"/>
          <w:szCs w:val="28"/>
        </w:rPr>
        <w:t>、综合联防队员用工补贴绩效目标表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、联防人员参加工作后使我乡的社会治安和稳定得到有效治理</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、加强乡镇维稳力量，维护本辖区社会治安</w:t>
            </w:r>
          </w:p>
        </w:tc>
      </w:tr>
    </w:tbl>
    <w:p>
      <w:pPr>
        <w:spacing w:line="14" w:lineRule="exact"/>
        <w:ind w:firstLine="420" w:firstLineChars="200"/>
        <w:jc w:val="center"/>
        <w:rPr>
          <w:rFonts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联防人员上岗率</w:t>
            </w:r>
            <w:r>
              <w:rPr>
                <w:rFonts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实际上岗人员占签订协议人员的比率</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100%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实际上岗情况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补贴资金发放率</w:t>
            </w:r>
            <w:r>
              <w:rPr>
                <w:rFonts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实际发放的补助金金额占计划发放金额的比率</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100%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资金发放表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联防人员生活改善情况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联防人员上岗后在生活方面的改善情况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改善明显</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社会治安稳定情况改善效果</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联防人员上岗后我乡社会治安稳定情况改善效果</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改善明显</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用工对象满意度</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用工对象满意度调查结果为满意以上的比例。</w:t>
            </w:r>
          </w:p>
          <w:p>
            <w:pPr>
              <w:spacing w:line="300" w:lineRule="exact"/>
              <w:jc w:val="left"/>
              <w:rPr>
                <w:rFonts w:ascii="方正书宋_GBK" w:eastAsia="方正书宋_GBK" w:cs="Times New Roman"/>
              </w:rPr>
            </w:pPr>
          </w:p>
        </w:tc>
        <w:tc>
          <w:tcPr>
            <w:tcW w:w="1276" w:type="dxa"/>
            <w:vAlign w:val="center"/>
          </w:tcPr>
          <w:p>
            <w:pPr>
              <w:spacing w:line="300" w:lineRule="exact"/>
              <w:jc w:val="left"/>
              <w:rPr>
                <w:rFonts w:ascii="方正书宋_GBK" w:eastAsia="方正书宋_GBK" w:cs="Times New Roman"/>
              </w:rPr>
            </w:pPr>
            <w:r>
              <w:rPr>
                <w:rFonts w:hint="eastAsia" w:ascii="宋体" w:hAnsi="宋体" w:cs="宋体"/>
                <w:color w:val="000000"/>
                <w:kern w:val="0"/>
                <w:sz w:val="20"/>
                <w:szCs w:val="20"/>
              </w:rPr>
              <w:t>≥</w:t>
            </w:r>
            <w:r>
              <w:rPr>
                <w:rFonts w:ascii="方正书宋_GBK" w:eastAsia="方正书宋_GBK" w:cs="方正书宋_GBK"/>
              </w:rPr>
              <w:t>90%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调查问卷</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仿宋_GB2312" w:hAnsi="Times New Roman" w:eastAsia="仿宋_GB2312" w:cs="Times New Roman"/>
          <w:sz w:val="32"/>
          <w:szCs w:val="32"/>
        </w:rPr>
      </w:pPr>
      <w:bookmarkStart w:id="1" w:name="_Toc471398468"/>
      <w:r>
        <w:rPr>
          <w:rFonts w:ascii="仿宋_GB2312" w:hAnsi="Times New Roman" w:eastAsia="仿宋_GB2312" w:cs="Times New Roman"/>
          <w:sz w:val="32"/>
          <w:szCs w:val="32"/>
        </w:rPr>
        <w:t xml:space="preserve"> 2020</w:t>
      </w:r>
      <w:r>
        <w:rPr>
          <w:rFonts w:hint="eastAsia" w:ascii="仿宋_GB2312" w:hAnsi="宋体" w:eastAsia="仿宋_GB2312" w:cs="宋体"/>
          <w:sz w:val="32"/>
          <w:szCs w:val="32"/>
        </w:rPr>
        <w:t>年，我部门安排政府采购预算</w:t>
      </w:r>
      <w:r>
        <w:rPr>
          <w:rFonts w:ascii="仿宋_GB2312" w:hAnsi="Times New Roman" w:eastAsia="仿宋_GB2312" w:cs="Times New Roman"/>
          <w:sz w:val="32"/>
          <w:szCs w:val="32"/>
        </w:rPr>
        <w:t>0</w:t>
      </w:r>
      <w:r>
        <w:rPr>
          <w:rFonts w:hint="eastAsia" w:ascii="仿宋_GB2312" w:hAnsi="宋体" w:eastAsia="仿宋_GB2312" w:cs="宋体"/>
          <w:sz w:val="32"/>
          <w:szCs w:val="32"/>
        </w:rPr>
        <w:t>万元，空表列示。具体内容见下表。</w:t>
      </w:r>
      <w:bookmarkEnd w:id="1"/>
    </w:p>
    <w:p>
      <w:pPr>
        <w:ind w:firstLine="640" w:firstLineChars="200"/>
        <w:jc w:val="center"/>
        <w:outlineLvl w:val="0"/>
        <w:rPr>
          <w:rFonts w:ascii="Times New Roman" w:hAnsi="宋体" w:cs="Times New Roman"/>
          <w:sz w:val="32"/>
          <w:szCs w:val="32"/>
        </w:rPr>
      </w:pPr>
      <w:r>
        <w:rPr>
          <w:rFonts w:hint="eastAsia" w:ascii="方正小标宋_GBK" w:eastAsia="方正小标宋_GBK" w:cs="方正小标宋_GBK"/>
          <w:sz w:val="32"/>
          <w:szCs w:val="32"/>
        </w:rPr>
        <w:t>部门政府采购预算</w:t>
      </w:r>
    </w:p>
    <w:p>
      <w:pPr>
        <w:spacing w:line="560" w:lineRule="exact"/>
        <w:ind w:firstLine="420" w:firstLineChars="200"/>
        <w:rPr>
          <w:rFonts w:ascii="仿宋_GB2312" w:eastAsia="仿宋_GB2312"/>
        </w:rPr>
      </w:pPr>
      <w:r>
        <w:rPr>
          <w:rFonts w:ascii="仿宋_GB2312" w:eastAsia="仿宋_GB2312"/>
        </w:rPr>
        <w:t>982</w:t>
      </w:r>
      <w:r>
        <w:rPr>
          <w:rFonts w:hint="eastAsia" w:ascii="仿宋_GB2312" w:eastAsia="仿宋_GB2312"/>
        </w:rPr>
        <w:t>灵寿县三圣院乡人民政府</w:t>
      </w:r>
      <w:r>
        <w:rPr>
          <w:rFonts w:ascii="仿宋_GB2312" w:eastAsia="仿宋_GB2312"/>
        </w:rPr>
        <w:t xml:space="preserve">                                     </w:t>
      </w:r>
      <w:r>
        <w:rPr>
          <w:rFonts w:hint="eastAsia" w:ascii="仿宋_GB2312" w:eastAsia="仿宋_GB2312"/>
        </w:rPr>
        <w:t>单位：万元</w:t>
      </w:r>
    </w:p>
    <w:tbl>
      <w:tblPr>
        <w:tblStyle w:val="7"/>
        <w:tblW w:w="87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1"/>
        <w:gridCol w:w="613"/>
        <w:gridCol w:w="542"/>
        <w:gridCol w:w="945"/>
        <w:gridCol w:w="460"/>
        <w:gridCol w:w="380"/>
        <w:gridCol w:w="420"/>
        <w:gridCol w:w="525"/>
        <w:gridCol w:w="630"/>
        <w:gridCol w:w="630"/>
        <w:gridCol w:w="985"/>
        <w:gridCol w:w="735"/>
        <w:gridCol w:w="6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64" w:type="dxa"/>
            <w:gridSpan w:val="2"/>
            <w:vAlign w:val="center"/>
          </w:tcPr>
          <w:p>
            <w:pPr>
              <w:spacing w:line="300" w:lineRule="exact"/>
              <w:jc w:val="center"/>
              <w:rPr>
                <w:rFonts w:ascii="方正书宋_GBK" w:eastAsia="方正书宋_GBK" w:cs="黑体"/>
                <w:b/>
              </w:rPr>
            </w:pPr>
            <w:r>
              <w:rPr>
                <w:rFonts w:hint="eastAsia" w:ascii="方正书宋_GBK" w:eastAsia="方正书宋_GBK" w:cs="黑体"/>
                <w:b/>
                <w:szCs w:val="22"/>
              </w:rPr>
              <w:t>政府采购项目来源</w:t>
            </w:r>
          </w:p>
        </w:tc>
        <w:tc>
          <w:tcPr>
            <w:tcW w:w="542" w:type="dxa"/>
            <w:vMerge w:val="restart"/>
            <w:vAlign w:val="center"/>
          </w:tcPr>
          <w:p>
            <w:pPr>
              <w:spacing w:line="300" w:lineRule="exact"/>
              <w:jc w:val="center"/>
              <w:rPr>
                <w:rFonts w:ascii="方正书宋_GBK" w:eastAsia="方正书宋_GBK" w:cs="黑体"/>
                <w:b/>
              </w:rPr>
            </w:pPr>
            <w:r>
              <w:rPr>
                <w:rFonts w:hint="eastAsia" w:ascii="方正书宋_GBK" w:eastAsia="方正书宋_GBK" w:cs="黑体"/>
                <w:b/>
                <w:szCs w:val="22"/>
              </w:rPr>
              <w:t>采购物品名称</w:t>
            </w:r>
          </w:p>
        </w:tc>
        <w:tc>
          <w:tcPr>
            <w:tcW w:w="945" w:type="dxa"/>
            <w:vMerge w:val="restart"/>
            <w:vAlign w:val="center"/>
          </w:tcPr>
          <w:p>
            <w:pPr>
              <w:spacing w:line="300" w:lineRule="exact"/>
              <w:jc w:val="center"/>
              <w:rPr>
                <w:rFonts w:ascii="方正书宋_GBK" w:eastAsia="方正书宋_GBK" w:cs="黑体"/>
                <w:b/>
              </w:rPr>
            </w:pPr>
            <w:r>
              <w:rPr>
                <w:rFonts w:hint="eastAsia" w:ascii="方正书宋_GBK" w:eastAsia="方正书宋_GBK" w:cs="黑体"/>
                <w:b/>
                <w:szCs w:val="22"/>
              </w:rPr>
              <w:t>政府采购目录序号</w:t>
            </w:r>
          </w:p>
        </w:tc>
        <w:tc>
          <w:tcPr>
            <w:tcW w:w="460" w:type="dxa"/>
            <w:vMerge w:val="restart"/>
            <w:vAlign w:val="center"/>
          </w:tcPr>
          <w:p>
            <w:pPr>
              <w:spacing w:line="300" w:lineRule="exact"/>
              <w:jc w:val="center"/>
              <w:rPr>
                <w:rFonts w:ascii="方正书宋_GBK" w:eastAsia="方正书宋_GBK" w:cs="黑体"/>
                <w:b/>
              </w:rPr>
            </w:pPr>
            <w:r>
              <w:rPr>
                <w:rFonts w:hint="eastAsia" w:ascii="方正书宋_GBK" w:eastAsia="方正书宋_GBK" w:cs="黑体"/>
                <w:b/>
                <w:szCs w:val="22"/>
              </w:rPr>
              <w:t>计量</w:t>
            </w:r>
            <w:r>
              <w:rPr>
                <w:rFonts w:ascii="方正书宋_GBK" w:eastAsia="方正书宋_GBK" w:cs="黑体"/>
                <w:b/>
                <w:szCs w:val="22"/>
              </w:rPr>
              <w:t xml:space="preserve">  </w:t>
            </w:r>
            <w:r>
              <w:rPr>
                <w:rFonts w:hint="eastAsia" w:ascii="方正书宋_GBK" w:eastAsia="方正书宋_GBK" w:cs="黑体"/>
                <w:b/>
                <w:szCs w:val="22"/>
              </w:rPr>
              <w:t>单位</w:t>
            </w:r>
          </w:p>
        </w:tc>
        <w:tc>
          <w:tcPr>
            <w:tcW w:w="380" w:type="dxa"/>
            <w:vMerge w:val="restart"/>
            <w:vAlign w:val="center"/>
          </w:tcPr>
          <w:p>
            <w:pPr>
              <w:spacing w:line="300" w:lineRule="exact"/>
              <w:jc w:val="center"/>
              <w:rPr>
                <w:rFonts w:ascii="方正书宋_GBK" w:eastAsia="方正书宋_GBK" w:cs="黑体"/>
                <w:b/>
              </w:rPr>
            </w:pPr>
            <w:r>
              <w:rPr>
                <w:rFonts w:hint="eastAsia" w:ascii="方正书宋_GBK" w:eastAsia="方正书宋_GBK" w:cs="黑体"/>
                <w:b/>
                <w:szCs w:val="22"/>
              </w:rPr>
              <w:t>数量</w:t>
            </w:r>
          </w:p>
        </w:tc>
        <w:tc>
          <w:tcPr>
            <w:tcW w:w="420" w:type="dxa"/>
            <w:vMerge w:val="restart"/>
            <w:vAlign w:val="center"/>
          </w:tcPr>
          <w:p>
            <w:pPr>
              <w:spacing w:line="300" w:lineRule="exact"/>
              <w:jc w:val="center"/>
              <w:rPr>
                <w:rFonts w:ascii="方正书宋_GBK" w:eastAsia="方正书宋_GBK" w:cs="黑体"/>
                <w:b/>
              </w:rPr>
            </w:pPr>
            <w:r>
              <w:rPr>
                <w:rFonts w:hint="eastAsia" w:ascii="方正书宋_GBK" w:eastAsia="方正书宋_GBK" w:cs="黑体"/>
                <w:b/>
                <w:szCs w:val="22"/>
              </w:rPr>
              <w:t>单价</w:t>
            </w:r>
          </w:p>
        </w:tc>
        <w:tc>
          <w:tcPr>
            <w:tcW w:w="4183" w:type="dxa"/>
            <w:gridSpan w:val="6"/>
            <w:vAlign w:val="center"/>
          </w:tcPr>
          <w:p>
            <w:pPr>
              <w:spacing w:line="300" w:lineRule="exact"/>
              <w:jc w:val="center"/>
              <w:rPr>
                <w:rFonts w:ascii="方正书宋_GBK" w:eastAsia="方正书宋_GBK" w:cs="黑体"/>
                <w:b/>
              </w:rPr>
            </w:pPr>
            <w:r>
              <w:rPr>
                <w:rFonts w:hint="eastAsia" w:ascii="方正书宋_GBK" w:eastAsia="方正书宋_GBK" w:cs="黑体"/>
                <w:b/>
                <w:szCs w:val="22"/>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51" w:type="dxa"/>
            <w:vAlign w:val="center"/>
          </w:tcPr>
          <w:p>
            <w:pPr>
              <w:spacing w:line="300" w:lineRule="exact"/>
              <w:jc w:val="center"/>
              <w:rPr>
                <w:rFonts w:ascii="方正书宋_GBK" w:eastAsia="方正书宋_GBK" w:cs="黑体"/>
                <w:b/>
              </w:rPr>
            </w:pPr>
            <w:r>
              <w:rPr>
                <w:rFonts w:hint="eastAsia" w:ascii="方正书宋_GBK" w:eastAsia="方正书宋_GBK" w:cs="黑体"/>
                <w:b/>
                <w:szCs w:val="22"/>
              </w:rPr>
              <w:t>项目名称</w:t>
            </w:r>
          </w:p>
        </w:tc>
        <w:tc>
          <w:tcPr>
            <w:tcW w:w="613" w:type="dxa"/>
            <w:vAlign w:val="center"/>
          </w:tcPr>
          <w:p>
            <w:pPr>
              <w:spacing w:line="300" w:lineRule="exact"/>
              <w:jc w:val="center"/>
              <w:rPr>
                <w:rFonts w:ascii="方正书宋_GBK" w:eastAsia="方正书宋_GBK" w:cs="黑体"/>
                <w:b/>
              </w:rPr>
            </w:pPr>
            <w:r>
              <w:rPr>
                <w:rFonts w:hint="eastAsia" w:ascii="方正书宋_GBK" w:eastAsia="方正书宋_GBK" w:cs="黑体"/>
                <w:b/>
                <w:szCs w:val="22"/>
              </w:rPr>
              <w:t>预算资金</w:t>
            </w:r>
          </w:p>
        </w:tc>
        <w:tc>
          <w:tcPr>
            <w:tcW w:w="542" w:type="dxa"/>
            <w:vMerge w:val="continue"/>
            <w:vAlign w:val="center"/>
          </w:tcPr>
          <w:p>
            <w:pPr>
              <w:spacing w:line="300" w:lineRule="exact"/>
              <w:jc w:val="left"/>
              <w:outlineLvl w:val="0"/>
              <w:rPr>
                <w:rFonts w:eastAsia="方正仿宋_GBK" w:cs="黑体"/>
                <w:sz w:val="28"/>
              </w:rPr>
            </w:pPr>
          </w:p>
        </w:tc>
        <w:tc>
          <w:tcPr>
            <w:tcW w:w="945" w:type="dxa"/>
            <w:vMerge w:val="continue"/>
            <w:vAlign w:val="center"/>
          </w:tcPr>
          <w:p>
            <w:pPr>
              <w:spacing w:line="300" w:lineRule="exact"/>
              <w:jc w:val="left"/>
              <w:outlineLvl w:val="0"/>
              <w:rPr>
                <w:rFonts w:eastAsia="方正仿宋_GBK" w:cs="黑体"/>
                <w:sz w:val="28"/>
              </w:rPr>
            </w:pPr>
          </w:p>
        </w:tc>
        <w:tc>
          <w:tcPr>
            <w:tcW w:w="460" w:type="dxa"/>
            <w:vMerge w:val="continue"/>
            <w:vAlign w:val="center"/>
          </w:tcPr>
          <w:p>
            <w:pPr>
              <w:spacing w:line="300" w:lineRule="exact"/>
              <w:jc w:val="left"/>
              <w:outlineLvl w:val="0"/>
              <w:rPr>
                <w:rFonts w:eastAsia="方正仿宋_GBK" w:cs="黑体"/>
                <w:sz w:val="28"/>
              </w:rPr>
            </w:pPr>
          </w:p>
        </w:tc>
        <w:tc>
          <w:tcPr>
            <w:tcW w:w="380" w:type="dxa"/>
            <w:vMerge w:val="continue"/>
            <w:vAlign w:val="center"/>
          </w:tcPr>
          <w:p>
            <w:pPr>
              <w:spacing w:line="300" w:lineRule="exact"/>
              <w:jc w:val="left"/>
              <w:outlineLvl w:val="0"/>
              <w:rPr>
                <w:rFonts w:eastAsia="方正仿宋_GBK" w:cs="黑体"/>
                <w:sz w:val="28"/>
              </w:rPr>
            </w:pPr>
          </w:p>
        </w:tc>
        <w:tc>
          <w:tcPr>
            <w:tcW w:w="420" w:type="dxa"/>
            <w:vMerge w:val="continue"/>
            <w:vAlign w:val="center"/>
          </w:tcPr>
          <w:p>
            <w:pPr>
              <w:spacing w:line="300" w:lineRule="exact"/>
              <w:jc w:val="left"/>
              <w:outlineLvl w:val="0"/>
              <w:rPr>
                <w:rFonts w:eastAsia="方正仿宋_GBK" w:cs="黑体"/>
                <w:sz w:val="28"/>
              </w:rPr>
            </w:pPr>
          </w:p>
        </w:tc>
        <w:tc>
          <w:tcPr>
            <w:tcW w:w="525" w:type="dxa"/>
            <w:vAlign w:val="center"/>
          </w:tcPr>
          <w:p>
            <w:pPr>
              <w:spacing w:line="300" w:lineRule="exact"/>
              <w:jc w:val="center"/>
              <w:rPr>
                <w:rFonts w:ascii="方正书宋_GBK" w:eastAsia="方正书宋_GBK" w:cs="黑体"/>
                <w:b/>
              </w:rPr>
            </w:pPr>
            <w:r>
              <w:rPr>
                <w:rFonts w:hint="eastAsia" w:ascii="方正书宋_GBK" w:eastAsia="方正书宋_GBK" w:cs="黑体"/>
                <w:b/>
                <w:szCs w:val="22"/>
              </w:rPr>
              <w:t>合计</w:t>
            </w:r>
          </w:p>
        </w:tc>
        <w:tc>
          <w:tcPr>
            <w:tcW w:w="630" w:type="dxa"/>
            <w:vAlign w:val="center"/>
          </w:tcPr>
          <w:p>
            <w:pPr>
              <w:spacing w:line="300" w:lineRule="exact"/>
              <w:jc w:val="center"/>
              <w:rPr>
                <w:rFonts w:ascii="方正书宋_GBK" w:eastAsia="方正书宋_GBK" w:cs="黑体"/>
                <w:b/>
              </w:rPr>
            </w:pPr>
            <w:r>
              <w:rPr>
                <w:rFonts w:hint="eastAsia" w:ascii="方正书宋_GBK" w:eastAsia="方正书宋_GBK" w:cs="黑体"/>
                <w:b/>
                <w:szCs w:val="22"/>
              </w:rPr>
              <w:t>一般公共预算拨款</w:t>
            </w:r>
          </w:p>
        </w:tc>
        <w:tc>
          <w:tcPr>
            <w:tcW w:w="630" w:type="dxa"/>
            <w:vAlign w:val="center"/>
          </w:tcPr>
          <w:p>
            <w:pPr>
              <w:spacing w:line="300" w:lineRule="exact"/>
              <w:jc w:val="center"/>
              <w:rPr>
                <w:rFonts w:ascii="方正书宋_GBK" w:eastAsia="方正书宋_GBK" w:cs="黑体"/>
                <w:b/>
              </w:rPr>
            </w:pPr>
            <w:r>
              <w:rPr>
                <w:rFonts w:hint="eastAsia" w:ascii="方正书宋_GBK" w:eastAsia="方正书宋_GBK" w:cs="黑体"/>
                <w:b/>
                <w:szCs w:val="22"/>
              </w:rPr>
              <w:t>基金预算拨款</w:t>
            </w:r>
          </w:p>
        </w:tc>
        <w:tc>
          <w:tcPr>
            <w:tcW w:w="985" w:type="dxa"/>
            <w:vAlign w:val="center"/>
          </w:tcPr>
          <w:p>
            <w:pPr>
              <w:spacing w:line="300" w:lineRule="exact"/>
              <w:jc w:val="center"/>
              <w:rPr>
                <w:rFonts w:ascii="方正书宋_GBK" w:eastAsia="方正书宋_GBK" w:cs="黑体"/>
                <w:b/>
              </w:rPr>
            </w:pPr>
            <w:r>
              <w:rPr>
                <w:rFonts w:hint="eastAsia" w:ascii="方正书宋_GBK" w:eastAsia="方正书宋_GBK" w:cs="黑体"/>
                <w:b/>
                <w:szCs w:val="22"/>
              </w:rPr>
              <w:t>国有资本经营预算拨款</w:t>
            </w:r>
          </w:p>
        </w:tc>
        <w:tc>
          <w:tcPr>
            <w:tcW w:w="735" w:type="dxa"/>
            <w:vAlign w:val="center"/>
          </w:tcPr>
          <w:p>
            <w:pPr>
              <w:spacing w:line="300" w:lineRule="exact"/>
              <w:jc w:val="center"/>
              <w:rPr>
                <w:rFonts w:ascii="方正书宋_GBK" w:eastAsia="方正书宋_GBK" w:cs="黑体"/>
                <w:b/>
              </w:rPr>
            </w:pPr>
            <w:r>
              <w:rPr>
                <w:rFonts w:hint="eastAsia" w:ascii="方正书宋_GBK" w:eastAsia="方正书宋_GBK" w:cs="黑体"/>
                <w:b/>
                <w:szCs w:val="22"/>
              </w:rPr>
              <w:t>财政专户核拨</w:t>
            </w:r>
          </w:p>
        </w:tc>
        <w:tc>
          <w:tcPr>
            <w:tcW w:w="678" w:type="dxa"/>
            <w:vAlign w:val="center"/>
          </w:tcPr>
          <w:p>
            <w:pPr>
              <w:spacing w:line="300" w:lineRule="exact"/>
              <w:jc w:val="center"/>
              <w:rPr>
                <w:rFonts w:ascii="方正书宋_GBK" w:eastAsia="方正书宋_GBK" w:cs="黑体"/>
                <w:b/>
              </w:rPr>
            </w:pPr>
            <w:r>
              <w:rPr>
                <w:rFonts w:hint="eastAsia" w:ascii="方正书宋_GBK" w:eastAsia="方正书宋_GBK" w:cs="黑体"/>
                <w:b/>
                <w:szCs w:val="22"/>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1" w:type="dxa"/>
            <w:vAlign w:val="center"/>
          </w:tcPr>
          <w:p>
            <w:pPr>
              <w:spacing w:line="300" w:lineRule="exact"/>
              <w:jc w:val="center"/>
              <w:rPr>
                <w:rFonts w:ascii="方正书宋_GBK" w:eastAsia="方正书宋_GBK" w:cs="黑体"/>
                <w:b/>
              </w:rPr>
            </w:pPr>
          </w:p>
        </w:tc>
        <w:tc>
          <w:tcPr>
            <w:tcW w:w="613" w:type="dxa"/>
            <w:vAlign w:val="center"/>
          </w:tcPr>
          <w:p>
            <w:pPr>
              <w:spacing w:line="300" w:lineRule="exact"/>
              <w:jc w:val="right"/>
              <w:rPr>
                <w:rFonts w:ascii="方正书宋_GBK" w:eastAsia="方正书宋_GBK" w:cs="黑体"/>
                <w:b/>
              </w:rPr>
            </w:pPr>
          </w:p>
        </w:tc>
        <w:tc>
          <w:tcPr>
            <w:tcW w:w="542" w:type="dxa"/>
            <w:vAlign w:val="center"/>
          </w:tcPr>
          <w:p>
            <w:pPr>
              <w:spacing w:line="300" w:lineRule="exact"/>
              <w:jc w:val="left"/>
              <w:rPr>
                <w:rFonts w:ascii="方正书宋_GBK" w:eastAsia="方正书宋_GBK" w:cs="黑体"/>
                <w:b/>
              </w:rPr>
            </w:pPr>
          </w:p>
        </w:tc>
        <w:tc>
          <w:tcPr>
            <w:tcW w:w="945" w:type="dxa"/>
            <w:vAlign w:val="center"/>
          </w:tcPr>
          <w:p>
            <w:pPr>
              <w:spacing w:line="300" w:lineRule="exact"/>
              <w:jc w:val="left"/>
              <w:rPr>
                <w:rFonts w:ascii="方正书宋_GBK" w:eastAsia="方正书宋_GBK" w:cs="黑体"/>
                <w:b/>
              </w:rPr>
            </w:pPr>
          </w:p>
        </w:tc>
        <w:tc>
          <w:tcPr>
            <w:tcW w:w="460" w:type="dxa"/>
            <w:vAlign w:val="center"/>
          </w:tcPr>
          <w:p>
            <w:pPr>
              <w:spacing w:line="300" w:lineRule="exact"/>
              <w:jc w:val="left"/>
              <w:rPr>
                <w:rFonts w:ascii="方正书宋_GBK" w:eastAsia="方正书宋_GBK" w:cs="黑体"/>
                <w:b/>
              </w:rPr>
            </w:pPr>
          </w:p>
        </w:tc>
        <w:tc>
          <w:tcPr>
            <w:tcW w:w="380" w:type="dxa"/>
            <w:vAlign w:val="center"/>
          </w:tcPr>
          <w:p>
            <w:pPr>
              <w:spacing w:line="300" w:lineRule="exact"/>
              <w:jc w:val="right"/>
              <w:rPr>
                <w:rFonts w:ascii="方正书宋_GBK" w:eastAsia="方正书宋_GBK" w:cs="黑体"/>
                <w:b/>
              </w:rPr>
            </w:pPr>
          </w:p>
        </w:tc>
        <w:tc>
          <w:tcPr>
            <w:tcW w:w="420" w:type="dxa"/>
            <w:vAlign w:val="center"/>
          </w:tcPr>
          <w:p>
            <w:pPr>
              <w:spacing w:line="300" w:lineRule="exact"/>
              <w:jc w:val="right"/>
              <w:rPr>
                <w:rFonts w:ascii="方正书宋_GBK" w:eastAsia="方正书宋_GBK" w:cs="黑体"/>
                <w:b/>
              </w:rPr>
            </w:pPr>
          </w:p>
        </w:tc>
        <w:tc>
          <w:tcPr>
            <w:tcW w:w="525" w:type="dxa"/>
            <w:vAlign w:val="center"/>
          </w:tcPr>
          <w:p>
            <w:pPr>
              <w:adjustRightInd w:val="0"/>
              <w:snapToGrid w:val="0"/>
              <w:jc w:val="right"/>
              <w:rPr>
                <w:rFonts w:ascii="方正书宋_GBK" w:hAnsi="宋体" w:eastAsia="方正书宋_GBK" w:cs="宋体"/>
                <w:b/>
                <w:bCs/>
                <w:color w:val="000000"/>
              </w:rPr>
            </w:pPr>
          </w:p>
        </w:tc>
        <w:tc>
          <w:tcPr>
            <w:tcW w:w="630" w:type="dxa"/>
            <w:vAlign w:val="center"/>
          </w:tcPr>
          <w:p>
            <w:pPr>
              <w:adjustRightInd w:val="0"/>
              <w:snapToGrid w:val="0"/>
              <w:jc w:val="right"/>
              <w:rPr>
                <w:rFonts w:ascii="方正书宋_GBK" w:hAnsi="宋体" w:eastAsia="方正书宋_GBK" w:cs="宋体"/>
                <w:b/>
                <w:bCs/>
                <w:color w:val="000000"/>
              </w:rPr>
            </w:pPr>
          </w:p>
        </w:tc>
        <w:tc>
          <w:tcPr>
            <w:tcW w:w="630" w:type="dxa"/>
            <w:vAlign w:val="center"/>
          </w:tcPr>
          <w:p>
            <w:pPr>
              <w:spacing w:line="300" w:lineRule="exact"/>
              <w:jc w:val="right"/>
              <w:rPr>
                <w:rFonts w:ascii="方正书宋_GBK" w:eastAsia="方正书宋_GBK" w:cs="黑体"/>
                <w:b/>
              </w:rPr>
            </w:pPr>
          </w:p>
        </w:tc>
        <w:tc>
          <w:tcPr>
            <w:tcW w:w="985" w:type="dxa"/>
            <w:vAlign w:val="center"/>
          </w:tcPr>
          <w:p>
            <w:pPr>
              <w:spacing w:line="300" w:lineRule="exact"/>
              <w:jc w:val="right"/>
              <w:rPr>
                <w:rFonts w:ascii="方正书宋_GBK" w:eastAsia="方正书宋_GBK" w:cs="黑体"/>
                <w:b/>
              </w:rPr>
            </w:pPr>
          </w:p>
        </w:tc>
        <w:tc>
          <w:tcPr>
            <w:tcW w:w="735" w:type="dxa"/>
            <w:vAlign w:val="center"/>
          </w:tcPr>
          <w:p>
            <w:pPr>
              <w:spacing w:line="300" w:lineRule="exact"/>
              <w:jc w:val="right"/>
              <w:rPr>
                <w:rFonts w:ascii="方正书宋_GBK" w:eastAsia="方正书宋_GBK" w:cs="黑体"/>
                <w:b/>
              </w:rPr>
            </w:pPr>
          </w:p>
        </w:tc>
        <w:tc>
          <w:tcPr>
            <w:tcW w:w="678" w:type="dxa"/>
            <w:vAlign w:val="center"/>
          </w:tcPr>
          <w:p>
            <w:pPr>
              <w:spacing w:line="300" w:lineRule="exact"/>
              <w:jc w:val="right"/>
              <w:rPr>
                <w:rFonts w:ascii="方正书宋_GBK" w:eastAsia="方正书宋_GBK" w:cs="黑体"/>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1" w:type="dxa"/>
            <w:vAlign w:val="center"/>
          </w:tcPr>
          <w:p>
            <w:pPr>
              <w:spacing w:line="300" w:lineRule="exact"/>
              <w:jc w:val="center"/>
              <w:rPr>
                <w:rFonts w:ascii="方正书宋_GBK" w:eastAsia="方正书宋_GBK" w:cs="黑体"/>
                <w:b/>
              </w:rPr>
            </w:pPr>
          </w:p>
        </w:tc>
        <w:tc>
          <w:tcPr>
            <w:tcW w:w="613" w:type="dxa"/>
            <w:vAlign w:val="center"/>
          </w:tcPr>
          <w:p>
            <w:pPr>
              <w:spacing w:line="300" w:lineRule="exact"/>
              <w:jc w:val="right"/>
              <w:rPr>
                <w:rFonts w:ascii="方正书宋_GBK" w:eastAsia="方正书宋_GBK" w:cs="黑体"/>
                <w:b/>
              </w:rPr>
            </w:pPr>
          </w:p>
        </w:tc>
        <w:tc>
          <w:tcPr>
            <w:tcW w:w="542" w:type="dxa"/>
            <w:vAlign w:val="center"/>
          </w:tcPr>
          <w:p>
            <w:pPr>
              <w:spacing w:line="300" w:lineRule="exact"/>
              <w:jc w:val="left"/>
              <w:rPr>
                <w:rFonts w:ascii="方正书宋_GBK" w:eastAsia="方正书宋_GBK" w:cs="黑体"/>
                <w:b/>
              </w:rPr>
            </w:pPr>
          </w:p>
        </w:tc>
        <w:tc>
          <w:tcPr>
            <w:tcW w:w="945" w:type="dxa"/>
            <w:vAlign w:val="center"/>
          </w:tcPr>
          <w:p>
            <w:pPr>
              <w:spacing w:line="300" w:lineRule="exact"/>
              <w:jc w:val="left"/>
              <w:rPr>
                <w:rFonts w:ascii="方正书宋_GBK" w:eastAsia="方正书宋_GBK" w:cs="黑体"/>
                <w:b/>
              </w:rPr>
            </w:pPr>
          </w:p>
        </w:tc>
        <w:tc>
          <w:tcPr>
            <w:tcW w:w="460" w:type="dxa"/>
            <w:vAlign w:val="center"/>
          </w:tcPr>
          <w:p>
            <w:pPr>
              <w:spacing w:line="300" w:lineRule="exact"/>
              <w:jc w:val="left"/>
              <w:rPr>
                <w:rFonts w:ascii="方正书宋_GBK" w:eastAsia="方正书宋_GBK" w:cs="黑体"/>
                <w:b/>
              </w:rPr>
            </w:pPr>
          </w:p>
        </w:tc>
        <w:tc>
          <w:tcPr>
            <w:tcW w:w="380" w:type="dxa"/>
            <w:vAlign w:val="center"/>
          </w:tcPr>
          <w:p>
            <w:pPr>
              <w:spacing w:line="300" w:lineRule="exact"/>
              <w:jc w:val="right"/>
              <w:rPr>
                <w:rFonts w:ascii="方正书宋_GBK" w:eastAsia="方正书宋_GBK" w:cs="黑体"/>
                <w:b/>
              </w:rPr>
            </w:pPr>
          </w:p>
        </w:tc>
        <w:tc>
          <w:tcPr>
            <w:tcW w:w="420" w:type="dxa"/>
            <w:vAlign w:val="center"/>
          </w:tcPr>
          <w:p>
            <w:pPr>
              <w:spacing w:line="300" w:lineRule="exact"/>
              <w:jc w:val="right"/>
              <w:rPr>
                <w:rFonts w:ascii="方正书宋_GBK" w:eastAsia="方正书宋_GBK" w:cs="黑体"/>
                <w:b/>
              </w:rPr>
            </w:pPr>
          </w:p>
        </w:tc>
        <w:tc>
          <w:tcPr>
            <w:tcW w:w="525" w:type="dxa"/>
            <w:vAlign w:val="center"/>
          </w:tcPr>
          <w:p>
            <w:pPr>
              <w:adjustRightInd w:val="0"/>
              <w:snapToGrid w:val="0"/>
              <w:jc w:val="right"/>
              <w:rPr>
                <w:rFonts w:ascii="方正书宋_GBK" w:hAnsi="宋体" w:eastAsia="方正书宋_GBK" w:cs="宋体"/>
                <w:b/>
                <w:bCs/>
                <w:color w:val="000000"/>
              </w:rPr>
            </w:pPr>
          </w:p>
        </w:tc>
        <w:tc>
          <w:tcPr>
            <w:tcW w:w="630" w:type="dxa"/>
            <w:vAlign w:val="center"/>
          </w:tcPr>
          <w:p>
            <w:pPr>
              <w:adjustRightInd w:val="0"/>
              <w:snapToGrid w:val="0"/>
              <w:jc w:val="right"/>
              <w:rPr>
                <w:rFonts w:ascii="方正书宋_GBK" w:hAnsi="宋体" w:eastAsia="方正书宋_GBK" w:cs="宋体"/>
                <w:b/>
                <w:bCs/>
                <w:color w:val="000000"/>
              </w:rPr>
            </w:pPr>
          </w:p>
        </w:tc>
        <w:tc>
          <w:tcPr>
            <w:tcW w:w="630" w:type="dxa"/>
            <w:vAlign w:val="center"/>
          </w:tcPr>
          <w:p>
            <w:pPr>
              <w:spacing w:line="300" w:lineRule="exact"/>
              <w:jc w:val="right"/>
              <w:rPr>
                <w:rFonts w:ascii="方正书宋_GBK" w:eastAsia="方正书宋_GBK" w:cs="黑体"/>
                <w:b/>
              </w:rPr>
            </w:pPr>
          </w:p>
        </w:tc>
        <w:tc>
          <w:tcPr>
            <w:tcW w:w="985" w:type="dxa"/>
            <w:vAlign w:val="center"/>
          </w:tcPr>
          <w:p>
            <w:pPr>
              <w:spacing w:line="300" w:lineRule="exact"/>
              <w:jc w:val="right"/>
              <w:rPr>
                <w:rFonts w:ascii="方正书宋_GBK" w:eastAsia="方正书宋_GBK" w:cs="黑体"/>
                <w:b/>
              </w:rPr>
            </w:pPr>
          </w:p>
        </w:tc>
        <w:tc>
          <w:tcPr>
            <w:tcW w:w="735" w:type="dxa"/>
            <w:vAlign w:val="center"/>
          </w:tcPr>
          <w:p>
            <w:pPr>
              <w:spacing w:line="300" w:lineRule="exact"/>
              <w:jc w:val="right"/>
              <w:rPr>
                <w:rFonts w:ascii="方正书宋_GBK" w:eastAsia="方正书宋_GBK" w:cs="黑体"/>
                <w:b/>
              </w:rPr>
            </w:pPr>
          </w:p>
        </w:tc>
        <w:tc>
          <w:tcPr>
            <w:tcW w:w="678" w:type="dxa"/>
            <w:vAlign w:val="center"/>
          </w:tcPr>
          <w:p>
            <w:pPr>
              <w:spacing w:line="300" w:lineRule="exact"/>
              <w:jc w:val="right"/>
              <w:rPr>
                <w:rFonts w:ascii="方正书宋_GBK" w:eastAsia="方正书宋_GBK" w:cs="黑体"/>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1" w:type="dxa"/>
            <w:vAlign w:val="center"/>
          </w:tcPr>
          <w:p>
            <w:pPr>
              <w:spacing w:line="300" w:lineRule="exact"/>
              <w:jc w:val="left"/>
              <w:rPr>
                <w:rFonts w:ascii="方正书宋_GBK" w:eastAsia="方正书宋_GBK" w:cs="黑体"/>
              </w:rPr>
            </w:pPr>
          </w:p>
        </w:tc>
        <w:tc>
          <w:tcPr>
            <w:tcW w:w="613" w:type="dxa"/>
            <w:vAlign w:val="center"/>
          </w:tcPr>
          <w:p>
            <w:pPr>
              <w:spacing w:line="300" w:lineRule="exact"/>
              <w:jc w:val="right"/>
              <w:rPr>
                <w:rFonts w:ascii="方正书宋_GBK" w:eastAsia="方正书宋_GBK" w:cs="黑体"/>
              </w:rPr>
            </w:pPr>
          </w:p>
        </w:tc>
        <w:tc>
          <w:tcPr>
            <w:tcW w:w="542" w:type="dxa"/>
            <w:vAlign w:val="center"/>
          </w:tcPr>
          <w:p>
            <w:pPr>
              <w:spacing w:line="300" w:lineRule="exact"/>
              <w:jc w:val="left"/>
              <w:rPr>
                <w:rFonts w:ascii="方正书宋_GBK" w:eastAsia="方正书宋_GBK" w:cs="黑体"/>
              </w:rPr>
            </w:pPr>
          </w:p>
        </w:tc>
        <w:tc>
          <w:tcPr>
            <w:tcW w:w="945" w:type="dxa"/>
            <w:vAlign w:val="center"/>
          </w:tcPr>
          <w:p>
            <w:pPr>
              <w:spacing w:line="300" w:lineRule="exact"/>
              <w:jc w:val="left"/>
              <w:rPr>
                <w:rFonts w:ascii="方正书宋_GBK" w:eastAsia="方正书宋_GBK" w:cs="黑体"/>
              </w:rPr>
            </w:pPr>
          </w:p>
        </w:tc>
        <w:tc>
          <w:tcPr>
            <w:tcW w:w="460" w:type="dxa"/>
            <w:vAlign w:val="center"/>
          </w:tcPr>
          <w:p>
            <w:pPr>
              <w:spacing w:line="300" w:lineRule="exact"/>
              <w:jc w:val="left"/>
              <w:rPr>
                <w:rFonts w:ascii="方正书宋_GBK" w:eastAsia="方正书宋_GBK" w:cs="黑体"/>
              </w:rPr>
            </w:pPr>
          </w:p>
        </w:tc>
        <w:tc>
          <w:tcPr>
            <w:tcW w:w="380" w:type="dxa"/>
            <w:vAlign w:val="center"/>
          </w:tcPr>
          <w:p>
            <w:pPr>
              <w:spacing w:line="300" w:lineRule="exact"/>
              <w:jc w:val="right"/>
              <w:rPr>
                <w:rFonts w:ascii="方正书宋_GBK" w:eastAsia="方正书宋_GBK" w:cs="黑体"/>
              </w:rPr>
            </w:pPr>
          </w:p>
        </w:tc>
        <w:tc>
          <w:tcPr>
            <w:tcW w:w="420" w:type="dxa"/>
            <w:vAlign w:val="center"/>
          </w:tcPr>
          <w:p>
            <w:pPr>
              <w:spacing w:line="300" w:lineRule="exact"/>
              <w:jc w:val="right"/>
              <w:rPr>
                <w:rFonts w:ascii="方正书宋_GBK" w:eastAsia="方正书宋_GBK" w:cs="黑体"/>
              </w:rPr>
            </w:pPr>
          </w:p>
        </w:tc>
        <w:tc>
          <w:tcPr>
            <w:tcW w:w="525" w:type="dxa"/>
            <w:vAlign w:val="center"/>
          </w:tcPr>
          <w:p>
            <w:pPr>
              <w:spacing w:line="300" w:lineRule="exact"/>
              <w:jc w:val="right"/>
              <w:rPr>
                <w:rFonts w:ascii="方正书宋_GBK" w:eastAsia="方正书宋_GBK" w:cs="黑体"/>
              </w:rPr>
            </w:pPr>
          </w:p>
        </w:tc>
        <w:tc>
          <w:tcPr>
            <w:tcW w:w="630" w:type="dxa"/>
            <w:vAlign w:val="center"/>
          </w:tcPr>
          <w:p>
            <w:pPr>
              <w:spacing w:line="300" w:lineRule="exact"/>
              <w:jc w:val="right"/>
              <w:rPr>
                <w:rFonts w:ascii="方正书宋_GBK" w:eastAsia="方正书宋_GBK" w:cs="黑体"/>
              </w:rPr>
            </w:pPr>
          </w:p>
        </w:tc>
        <w:tc>
          <w:tcPr>
            <w:tcW w:w="630" w:type="dxa"/>
            <w:vAlign w:val="center"/>
          </w:tcPr>
          <w:p>
            <w:pPr>
              <w:spacing w:line="300" w:lineRule="exact"/>
              <w:jc w:val="right"/>
              <w:rPr>
                <w:rFonts w:ascii="方正书宋_GBK" w:eastAsia="方正书宋_GBK" w:cs="黑体"/>
              </w:rPr>
            </w:pPr>
          </w:p>
        </w:tc>
        <w:tc>
          <w:tcPr>
            <w:tcW w:w="985" w:type="dxa"/>
            <w:vAlign w:val="center"/>
          </w:tcPr>
          <w:p>
            <w:pPr>
              <w:spacing w:line="300" w:lineRule="exact"/>
              <w:jc w:val="right"/>
              <w:rPr>
                <w:rFonts w:ascii="方正书宋_GBK" w:eastAsia="方正书宋_GBK" w:cs="黑体"/>
              </w:rPr>
            </w:pPr>
          </w:p>
        </w:tc>
        <w:tc>
          <w:tcPr>
            <w:tcW w:w="735" w:type="dxa"/>
            <w:vAlign w:val="center"/>
          </w:tcPr>
          <w:p>
            <w:pPr>
              <w:spacing w:line="300" w:lineRule="exact"/>
              <w:jc w:val="right"/>
              <w:rPr>
                <w:rFonts w:ascii="方正书宋_GBK" w:eastAsia="方正书宋_GBK" w:cs="黑体"/>
              </w:rPr>
            </w:pPr>
          </w:p>
        </w:tc>
        <w:tc>
          <w:tcPr>
            <w:tcW w:w="678" w:type="dxa"/>
            <w:vAlign w:val="center"/>
          </w:tcPr>
          <w:p>
            <w:pPr>
              <w:spacing w:line="300" w:lineRule="exact"/>
              <w:jc w:val="right"/>
              <w:rPr>
                <w:rFonts w:ascii="方正书宋_GBK" w:eastAsia="方正书宋_GBK" w:cs="黑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1" w:type="dxa"/>
            <w:vAlign w:val="center"/>
          </w:tcPr>
          <w:p>
            <w:pPr>
              <w:spacing w:line="300" w:lineRule="exact"/>
              <w:jc w:val="left"/>
              <w:rPr>
                <w:rFonts w:ascii="方正书宋_GBK" w:eastAsia="方正书宋_GBK" w:cs="黑体"/>
              </w:rPr>
            </w:pPr>
          </w:p>
        </w:tc>
        <w:tc>
          <w:tcPr>
            <w:tcW w:w="613" w:type="dxa"/>
            <w:vAlign w:val="center"/>
          </w:tcPr>
          <w:p>
            <w:pPr>
              <w:spacing w:line="300" w:lineRule="exact"/>
              <w:jc w:val="right"/>
              <w:rPr>
                <w:rFonts w:ascii="方正书宋_GBK" w:eastAsia="方正书宋_GBK" w:cs="黑体"/>
              </w:rPr>
            </w:pPr>
          </w:p>
        </w:tc>
        <w:tc>
          <w:tcPr>
            <w:tcW w:w="542" w:type="dxa"/>
            <w:vAlign w:val="center"/>
          </w:tcPr>
          <w:p>
            <w:pPr>
              <w:spacing w:line="300" w:lineRule="exact"/>
              <w:jc w:val="left"/>
              <w:rPr>
                <w:rFonts w:ascii="方正书宋_GBK" w:eastAsia="方正书宋_GBK" w:cs="黑体"/>
              </w:rPr>
            </w:pPr>
          </w:p>
        </w:tc>
        <w:tc>
          <w:tcPr>
            <w:tcW w:w="945" w:type="dxa"/>
            <w:vAlign w:val="center"/>
          </w:tcPr>
          <w:p>
            <w:pPr>
              <w:spacing w:line="300" w:lineRule="exact"/>
              <w:jc w:val="left"/>
              <w:rPr>
                <w:rFonts w:ascii="方正书宋_GBK" w:eastAsia="方正书宋_GBK" w:cs="黑体"/>
              </w:rPr>
            </w:pPr>
          </w:p>
        </w:tc>
        <w:tc>
          <w:tcPr>
            <w:tcW w:w="460" w:type="dxa"/>
            <w:vAlign w:val="center"/>
          </w:tcPr>
          <w:p>
            <w:pPr>
              <w:spacing w:line="300" w:lineRule="exact"/>
              <w:jc w:val="left"/>
              <w:rPr>
                <w:rFonts w:ascii="方正书宋_GBK" w:eastAsia="方正书宋_GBK" w:cs="黑体"/>
              </w:rPr>
            </w:pPr>
          </w:p>
        </w:tc>
        <w:tc>
          <w:tcPr>
            <w:tcW w:w="380" w:type="dxa"/>
            <w:vAlign w:val="center"/>
          </w:tcPr>
          <w:p>
            <w:pPr>
              <w:spacing w:line="300" w:lineRule="exact"/>
              <w:jc w:val="right"/>
              <w:rPr>
                <w:rFonts w:ascii="方正书宋_GBK" w:eastAsia="方正书宋_GBK" w:cs="黑体"/>
              </w:rPr>
            </w:pPr>
          </w:p>
        </w:tc>
        <w:tc>
          <w:tcPr>
            <w:tcW w:w="420" w:type="dxa"/>
            <w:vAlign w:val="center"/>
          </w:tcPr>
          <w:p>
            <w:pPr>
              <w:spacing w:line="300" w:lineRule="exact"/>
              <w:jc w:val="right"/>
              <w:rPr>
                <w:rFonts w:ascii="方正书宋_GBK" w:eastAsia="方正书宋_GBK" w:cs="黑体"/>
              </w:rPr>
            </w:pPr>
          </w:p>
        </w:tc>
        <w:tc>
          <w:tcPr>
            <w:tcW w:w="525" w:type="dxa"/>
            <w:vAlign w:val="center"/>
          </w:tcPr>
          <w:p>
            <w:pPr>
              <w:spacing w:line="300" w:lineRule="exact"/>
              <w:jc w:val="right"/>
              <w:rPr>
                <w:rFonts w:ascii="方正书宋_GBK" w:eastAsia="方正书宋_GBK" w:cs="黑体"/>
              </w:rPr>
            </w:pPr>
          </w:p>
        </w:tc>
        <w:tc>
          <w:tcPr>
            <w:tcW w:w="630" w:type="dxa"/>
            <w:vAlign w:val="center"/>
          </w:tcPr>
          <w:p>
            <w:pPr>
              <w:spacing w:line="300" w:lineRule="exact"/>
              <w:jc w:val="right"/>
              <w:rPr>
                <w:rFonts w:ascii="方正书宋_GBK" w:eastAsia="方正书宋_GBK" w:cs="黑体"/>
              </w:rPr>
            </w:pPr>
          </w:p>
        </w:tc>
        <w:tc>
          <w:tcPr>
            <w:tcW w:w="630" w:type="dxa"/>
            <w:vAlign w:val="center"/>
          </w:tcPr>
          <w:p>
            <w:pPr>
              <w:spacing w:line="300" w:lineRule="exact"/>
              <w:jc w:val="right"/>
              <w:rPr>
                <w:rFonts w:ascii="方正书宋_GBK" w:eastAsia="方正书宋_GBK" w:cs="黑体"/>
              </w:rPr>
            </w:pPr>
          </w:p>
        </w:tc>
        <w:tc>
          <w:tcPr>
            <w:tcW w:w="985" w:type="dxa"/>
            <w:vAlign w:val="center"/>
          </w:tcPr>
          <w:p>
            <w:pPr>
              <w:spacing w:line="300" w:lineRule="exact"/>
              <w:jc w:val="right"/>
              <w:rPr>
                <w:rFonts w:ascii="方正书宋_GBK" w:eastAsia="方正书宋_GBK" w:cs="黑体"/>
              </w:rPr>
            </w:pPr>
          </w:p>
        </w:tc>
        <w:tc>
          <w:tcPr>
            <w:tcW w:w="735" w:type="dxa"/>
            <w:vAlign w:val="center"/>
          </w:tcPr>
          <w:p>
            <w:pPr>
              <w:spacing w:line="300" w:lineRule="exact"/>
              <w:jc w:val="right"/>
              <w:rPr>
                <w:rFonts w:ascii="方正书宋_GBK" w:eastAsia="方正书宋_GBK" w:cs="黑体"/>
              </w:rPr>
            </w:pPr>
          </w:p>
        </w:tc>
        <w:tc>
          <w:tcPr>
            <w:tcW w:w="678" w:type="dxa"/>
            <w:vAlign w:val="center"/>
          </w:tcPr>
          <w:p>
            <w:pPr>
              <w:spacing w:line="300" w:lineRule="exact"/>
              <w:jc w:val="right"/>
              <w:rPr>
                <w:rFonts w:ascii="方正书宋_GBK" w:eastAsia="方正书宋_GBK" w:cs="黑体"/>
              </w:rPr>
            </w:pPr>
          </w:p>
        </w:tc>
      </w:tr>
    </w:tbl>
    <w:p>
      <w:pPr>
        <w:autoSpaceDE w:val="0"/>
        <w:autoSpaceDN w:val="0"/>
        <w:adjustRightInd w:val="0"/>
        <w:jc w:val="left"/>
        <w:rPr>
          <w:rFonts w:ascii="黑体" w:hAnsi="黑体" w:eastAsia="黑体" w:cs="Times New Roman"/>
          <w:sz w:val="32"/>
          <w:szCs w:val="32"/>
        </w:rPr>
      </w:pPr>
      <w:r>
        <w:rPr>
          <w:rFonts w:ascii="黑体" w:hAnsi="黑体" w:eastAsia="黑体" w:cs="Times New Roman"/>
          <w:sz w:val="32"/>
          <w:szCs w:val="32"/>
        </w:rPr>
        <w:br w:type="page"/>
      </w:r>
      <w:r>
        <w:rPr>
          <w:rFonts w:hint="eastAsia" w:ascii="黑体" w:hAnsi="黑体" w:eastAsia="黑体" w:cs="黑体"/>
          <w:sz w:val="32"/>
          <w:szCs w:val="32"/>
        </w:rPr>
        <w:t>七、国有资产信息</w:t>
      </w:r>
    </w:p>
    <w:p>
      <w:pPr>
        <w:ind w:firstLine="640"/>
        <w:rPr>
          <w:rFonts w:ascii="仿宋_GB2312" w:eastAsia="仿宋_GB2312" w:cs="宋体"/>
          <w:color w:val="000000"/>
          <w:sz w:val="32"/>
          <w:szCs w:val="32"/>
        </w:rPr>
      </w:pPr>
      <w:r>
        <w:rPr>
          <w:rFonts w:hint="eastAsia" w:ascii="仿宋_GB2312" w:hAnsi="宋体" w:eastAsia="仿宋_GB2312" w:cs="宋体"/>
          <w:color w:val="000000"/>
          <w:sz w:val="32"/>
          <w:szCs w:val="32"/>
        </w:rPr>
        <w:t>灵寿县三圣院乡人民政府</w:t>
      </w:r>
      <w:r>
        <w:rPr>
          <w:rFonts w:ascii="仿宋_GB2312" w:hAnsi="Times New Roman" w:eastAsia="仿宋_GB2312" w:cs="Times New Roman"/>
          <w:color w:val="000000"/>
          <w:sz w:val="32"/>
          <w:szCs w:val="32"/>
        </w:rPr>
        <w:t>2019</w:t>
      </w:r>
      <w:r>
        <w:rPr>
          <w:rFonts w:hint="eastAsia" w:ascii="仿宋_GB2312" w:hAnsi="宋体" w:eastAsia="仿宋_GB2312" w:cs="宋体"/>
          <w:color w:val="000000"/>
          <w:sz w:val="32"/>
          <w:szCs w:val="32"/>
        </w:rPr>
        <w:t>年末固定资产金额为</w:t>
      </w:r>
      <w:r>
        <w:rPr>
          <w:rFonts w:ascii="仿宋_GB2312" w:hAnsi="Times New Roman" w:eastAsia="仿宋_GB2312" w:cs="Times New Roman"/>
          <w:color w:val="000000"/>
          <w:sz w:val="32"/>
          <w:szCs w:val="32"/>
        </w:rPr>
        <w:t>270.53</w:t>
      </w:r>
      <w:r>
        <w:rPr>
          <w:rFonts w:hint="eastAsia" w:ascii="仿宋_GB2312" w:hAnsi="宋体" w:eastAsia="仿宋_GB2312" w:cs="宋体"/>
          <w:color w:val="000000"/>
          <w:sz w:val="32"/>
          <w:szCs w:val="32"/>
        </w:rPr>
        <w:t>万元（详见下表），本年度无固定资产购置计划。</w:t>
      </w:r>
    </w:p>
    <w:p>
      <w:pPr>
        <w:spacing w:line="560" w:lineRule="exact"/>
        <w:ind w:firstLine="640" w:firstLineChars="200"/>
        <w:jc w:val="center"/>
        <w:rPr>
          <w:rFonts w:ascii="黑体" w:hAnsi="黑体" w:eastAsia="黑体" w:cs="Times New Roman"/>
          <w:sz w:val="32"/>
          <w:szCs w:val="32"/>
        </w:rPr>
      </w:pPr>
      <w:r>
        <w:rPr>
          <w:rFonts w:hint="eastAsia" w:ascii="黑体" w:hAnsi="黑体" w:eastAsia="黑体" w:cs="黑体"/>
          <w:sz w:val="32"/>
          <w:szCs w:val="32"/>
        </w:rPr>
        <w:t>三圣院乡固定资产占用情况表</w:t>
      </w:r>
    </w:p>
    <w:p>
      <w:pPr>
        <w:spacing w:line="560" w:lineRule="exact"/>
        <w:rPr>
          <w:rFonts w:ascii="仿宋_GB2312" w:hAnsi="仿宋" w:eastAsia="仿宋_GB2312" w:cs="Times New Roman"/>
          <w:sz w:val="32"/>
          <w:szCs w:val="32"/>
        </w:rPr>
      </w:pPr>
      <w:r>
        <w:rPr>
          <w:rFonts w:hint="eastAsia" w:ascii="仿宋_GB2312" w:eastAsia="仿宋_GB2312"/>
        </w:rPr>
        <w:t>编制部门：灵寿县</w:t>
      </w:r>
      <w:r>
        <w:rPr>
          <w:rFonts w:hint="eastAsia" w:ascii="仿宋_GB2312" w:eastAsia="仿宋_GB2312" w:cs="宋体"/>
        </w:rPr>
        <w:t>三圣院乡人民政府</w:t>
      </w:r>
      <w:r>
        <w:rPr>
          <w:rFonts w:ascii="仿宋_GB2312" w:eastAsia="仿宋_GB2312"/>
        </w:rPr>
        <w:t xml:space="preserve">                  </w:t>
      </w:r>
      <w:r>
        <w:rPr>
          <w:rFonts w:hint="eastAsia" w:ascii="仿宋_GB2312" w:eastAsia="仿宋_GB2312" w:cs="宋体"/>
        </w:rPr>
        <w:t>截止日期：</w:t>
      </w:r>
      <w:r>
        <w:rPr>
          <w:rFonts w:ascii="仿宋_GB2312" w:eastAsia="仿宋_GB2312"/>
        </w:rPr>
        <w:t>2019</w:t>
      </w:r>
      <w:r>
        <w:rPr>
          <w:rFonts w:hint="eastAsia" w:ascii="仿宋_GB2312" w:eastAsia="仿宋_GB2312" w:cs="宋体"/>
        </w:rPr>
        <w:t>年</w:t>
      </w:r>
      <w:r>
        <w:rPr>
          <w:rFonts w:ascii="仿宋_GB2312" w:eastAsia="仿宋_GB2312"/>
        </w:rPr>
        <w:t>12</w:t>
      </w:r>
      <w:r>
        <w:rPr>
          <w:rFonts w:hint="eastAsia" w:ascii="仿宋_GB2312" w:eastAsia="仿宋_GB2312" w:cs="宋体"/>
        </w:rPr>
        <w:t>月</w:t>
      </w:r>
      <w:r>
        <w:rPr>
          <w:rFonts w:ascii="仿宋_GB2312" w:eastAsia="仿宋_GB2312"/>
        </w:rPr>
        <w:t>31</w:t>
      </w:r>
      <w:r>
        <w:rPr>
          <w:rFonts w:hint="eastAsia" w:ascii="仿宋_GB2312" w:eastAsia="仿宋_GB2312" w:cs="宋体"/>
        </w:rPr>
        <w:t>日</w:t>
      </w:r>
    </w:p>
    <w:tbl>
      <w:tblPr>
        <w:tblStyle w:val="7"/>
        <w:tblW w:w="8295" w:type="dxa"/>
        <w:tblInd w:w="-10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27"/>
        <w:gridCol w:w="1678"/>
        <w:gridCol w:w="33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trPr>
        <w:tc>
          <w:tcPr>
            <w:tcW w:w="3227" w:type="dxa"/>
            <w:vMerge w:val="restart"/>
            <w:vAlign w:val="center"/>
          </w:tcPr>
          <w:p>
            <w:pPr>
              <w:spacing w:line="560" w:lineRule="exact"/>
              <w:jc w:val="center"/>
              <w:rPr>
                <w:rFonts w:ascii="仿宋_GB2312" w:hAnsi="仿宋_GB2312" w:eastAsia="仿宋_GB2312" w:cs="Times New Roman"/>
                <w:b/>
                <w:bCs/>
              </w:rPr>
            </w:pPr>
            <w:r>
              <w:rPr>
                <w:rFonts w:hint="eastAsia" w:ascii="仿宋_GB2312" w:hAnsi="仿宋_GB2312" w:eastAsia="仿宋_GB2312" w:cs="仿宋_GB2312"/>
                <w:b/>
                <w:bCs/>
              </w:rPr>
              <w:t>项目</w:t>
            </w:r>
          </w:p>
        </w:tc>
        <w:tc>
          <w:tcPr>
            <w:tcW w:w="1678" w:type="dxa"/>
            <w:vMerge w:val="restart"/>
            <w:vAlign w:val="center"/>
          </w:tcPr>
          <w:p>
            <w:pPr>
              <w:spacing w:line="560" w:lineRule="exact"/>
              <w:jc w:val="center"/>
              <w:rPr>
                <w:rFonts w:ascii="仿宋_GB2312" w:hAnsi="仿宋_GB2312" w:eastAsia="仿宋_GB2312" w:cs="Times New Roman"/>
                <w:b/>
                <w:bCs/>
              </w:rPr>
            </w:pPr>
            <w:r>
              <w:rPr>
                <w:rFonts w:hint="eastAsia" w:ascii="仿宋_GB2312" w:hAnsi="仿宋_GB2312" w:eastAsia="仿宋_GB2312" w:cs="仿宋_GB2312"/>
                <w:b/>
                <w:bCs/>
              </w:rPr>
              <w:t>数量</w:t>
            </w:r>
          </w:p>
        </w:tc>
        <w:tc>
          <w:tcPr>
            <w:tcW w:w="3390" w:type="dxa"/>
            <w:vMerge w:val="restart"/>
            <w:vAlign w:val="center"/>
          </w:tcPr>
          <w:p>
            <w:pPr>
              <w:spacing w:line="560" w:lineRule="exact"/>
              <w:jc w:val="center"/>
              <w:rPr>
                <w:rFonts w:ascii="仿宋_GB2312" w:hAnsi="仿宋_GB2312" w:eastAsia="仿宋_GB2312" w:cs="Times New Roman"/>
                <w:b/>
                <w:bCs/>
              </w:rPr>
            </w:pPr>
            <w:r>
              <w:rPr>
                <w:rFonts w:hint="eastAsia" w:ascii="仿宋_GB2312" w:hAnsi="仿宋_GB2312" w:eastAsia="仿宋_GB2312" w:cs="仿宋_GB2312"/>
                <w:b/>
                <w:bCs/>
              </w:rPr>
              <w:t>价值（单位：万元</w:t>
            </w:r>
            <w:r>
              <w:rPr>
                <w:rFonts w:ascii="仿宋_GB2312" w:hAnsi="仿宋_GB2312" w:eastAsia="仿宋_GB2312" w:cs="仿宋_GB2312"/>
                <w:b/>
                <w:bCs/>
              </w:rPr>
              <w:t xml:space="preserve"> </w:t>
            </w:r>
            <w:r>
              <w:rPr>
                <w:rFonts w:hint="eastAsia" w:ascii="仿宋_GB2312" w:hAnsi="仿宋_GB2312" w:eastAsia="仿宋_GB2312" w:cs="仿宋_GB2312"/>
                <w:b/>
                <w:bCs/>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trPr>
        <w:tc>
          <w:tcPr>
            <w:tcW w:w="3227" w:type="dxa"/>
            <w:vMerge w:val="continue"/>
            <w:vAlign w:val="center"/>
          </w:tcPr>
          <w:p>
            <w:pPr>
              <w:spacing w:line="560" w:lineRule="exact"/>
              <w:jc w:val="left"/>
              <w:outlineLvl w:val="0"/>
              <w:rPr>
                <w:rFonts w:ascii="仿宋_GB2312" w:hAnsi="仿宋_GB2312" w:eastAsia="仿宋_GB2312" w:cs="Times New Roman"/>
              </w:rPr>
            </w:pPr>
          </w:p>
        </w:tc>
        <w:tc>
          <w:tcPr>
            <w:tcW w:w="1678" w:type="dxa"/>
            <w:vMerge w:val="continue"/>
            <w:vAlign w:val="center"/>
          </w:tcPr>
          <w:p>
            <w:pPr>
              <w:spacing w:line="560" w:lineRule="exact"/>
              <w:jc w:val="left"/>
              <w:outlineLvl w:val="0"/>
              <w:rPr>
                <w:rFonts w:ascii="仿宋_GB2312" w:hAnsi="仿宋_GB2312" w:eastAsia="仿宋_GB2312" w:cs="Times New Roman"/>
              </w:rPr>
            </w:pPr>
          </w:p>
        </w:tc>
        <w:tc>
          <w:tcPr>
            <w:tcW w:w="3390" w:type="dxa"/>
            <w:vMerge w:val="continue"/>
            <w:vAlign w:val="center"/>
          </w:tcPr>
          <w:p>
            <w:pPr>
              <w:spacing w:line="560" w:lineRule="exact"/>
              <w:jc w:val="left"/>
              <w:outlineLvl w:val="0"/>
              <w:rPr>
                <w:rFonts w:ascii="仿宋_GB2312" w:hAnsi="仿宋_GB2312" w:eastAsia="仿宋_GB2312"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rPr>
        <w:tc>
          <w:tcPr>
            <w:tcW w:w="3227" w:type="dxa"/>
            <w:vAlign w:val="center"/>
          </w:tcPr>
          <w:p>
            <w:pPr>
              <w:spacing w:line="560" w:lineRule="exact"/>
              <w:jc w:val="center"/>
              <w:rPr>
                <w:rFonts w:ascii="仿宋_GB2312" w:hAnsi="仿宋_GB2312" w:eastAsia="仿宋_GB2312" w:cs="Times New Roman"/>
                <w:b/>
                <w:bCs/>
              </w:rPr>
            </w:pPr>
            <w:r>
              <w:rPr>
                <w:rFonts w:hint="eastAsia" w:ascii="仿宋_GB2312" w:hAnsi="仿宋_GB2312" w:eastAsia="仿宋_GB2312" w:cs="仿宋_GB2312"/>
                <w:b/>
                <w:bCs/>
              </w:rPr>
              <w:t>资产总额</w:t>
            </w:r>
          </w:p>
        </w:tc>
        <w:tc>
          <w:tcPr>
            <w:tcW w:w="1678" w:type="dxa"/>
            <w:vAlign w:val="center"/>
          </w:tcPr>
          <w:p>
            <w:pPr>
              <w:spacing w:line="560" w:lineRule="exact"/>
              <w:jc w:val="center"/>
              <w:rPr>
                <w:rFonts w:ascii="仿宋_GB2312" w:hAnsi="仿宋_GB2312" w:eastAsia="仿宋_GB2312" w:cs="Times New Roman"/>
                <w:b/>
                <w:bCs/>
              </w:rPr>
            </w:pPr>
          </w:p>
        </w:tc>
        <w:tc>
          <w:tcPr>
            <w:tcW w:w="3390" w:type="dxa"/>
            <w:vAlign w:val="center"/>
          </w:tcPr>
          <w:p>
            <w:pPr>
              <w:spacing w:line="560" w:lineRule="exact"/>
              <w:jc w:val="center"/>
              <w:rPr>
                <w:rFonts w:ascii="仿宋_GB2312" w:hAnsi="仿宋_GB2312" w:eastAsia="仿宋_GB2312" w:cs="Times New Roman"/>
                <w:b/>
                <w:bCs/>
              </w:rPr>
            </w:pPr>
            <w:r>
              <w:rPr>
                <w:rFonts w:ascii="仿宋_GB2312" w:hAnsi="仿宋_GB2312" w:eastAsia="仿宋_GB2312" w:cs="仿宋_GB2312"/>
                <w:b/>
                <w:bCs/>
              </w:rPr>
              <w:t>270.53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trPr>
        <w:tc>
          <w:tcPr>
            <w:tcW w:w="3227" w:type="dxa"/>
            <w:vAlign w:val="center"/>
          </w:tcPr>
          <w:p>
            <w:pPr>
              <w:spacing w:line="560" w:lineRule="exact"/>
              <w:jc w:val="left"/>
              <w:rPr>
                <w:rFonts w:ascii="仿宋_GB2312" w:hAnsi="仿宋_GB2312" w:eastAsia="仿宋_GB2312" w:cs="Times New Roman"/>
              </w:rPr>
            </w:pPr>
            <w:r>
              <w:rPr>
                <w:rFonts w:ascii="仿宋_GB2312" w:hAnsi="仿宋_GB2312" w:eastAsia="仿宋_GB2312" w:cs="仿宋_GB2312"/>
              </w:rPr>
              <w:t>1</w:t>
            </w:r>
            <w:r>
              <w:rPr>
                <w:rFonts w:hint="eastAsia" w:ascii="仿宋_GB2312" w:hAnsi="仿宋_GB2312" w:eastAsia="仿宋_GB2312" w:cs="仿宋_GB2312"/>
              </w:rPr>
              <w:t>、房屋（平方米）</w:t>
            </w:r>
          </w:p>
        </w:tc>
        <w:tc>
          <w:tcPr>
            <w:tcW w:w="1678" w:type="dxa"/>
            <w:vAlign w:val="center"/>
          </w:tcPr>
          <w:p>
            <w:pPr>
              <w:spacing w:line="560" w:lineRule="exact"/>
              <w:jc w:val="center"/>
              <w:rPr>
                <w:rFonts w:ascii="仿宋_GB2312" w:hAnsi="仿宋_GB2312" w:eastAsia="仿宋_GB2312" w:cs="Times New Roman"/>
                <w:b/>
                <w:bCs/>
              </w:rPr>
            </w:pPr>
          </w:p>
        </w:tc>
        <w:tc>
          <w:tcPr>
            <w:tcW w:w="3390" w:type="dxa"/>
            <w:vAlign w:val="center"/>
          </w:tcPr>
          <w:p>
            <w:pPr>
              <w:spacing w:line="560" w:lineRule="exact"/>
              <w:jc w:val="center"/>
              <w:rPr>
                <w:rFonts w:ascii="仿宋_GB2312" w:hAnsi="仿宋_GB2312" w:eastAsia="仿宋_GB2312" w:cs="仿宋_GB2312"/>
                <w:b/>
                <w:bCs/>
              </w:rPr>
            </w:pPr>
            <w:r>
              <w:rPr>
                <w:rFonts w:ascii="仿宋_GB2312" w:hAnsi="仿宋_GB2312" w:eastAsia="仿宋_GB2312" w:cs="仿宋_GB2312"/>
                <w:b/>
                <w:bCs/>
              </w:rPr>
              <w:t>270.53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trPr>
        <w:tc>
          <w:tcPr>
            <w:tcW w:w="3227" w:type="dxa"/>
            <w:vAlign w:val="center"/>
          </w:tcPr>
          <w:p>
            <w:pPr>
              <w:spacing w:line="560" w:lineRule="exact"/>
              <w:jc w:val="left"/>
              <w:rPr>
                <w:rFonts w:ascii="仿宋_GB2312" w:hAnsi="仿宋_GB2312" w:eastAsia="仿宋_GB2312" w:cs="Times New Roman"/>
              </w:rPr>
            </w:pPr>
            <w:r>
              <w:rPr>
                <w:rFonts w:hint="eastAsia" w:ascii="Times New Roman" w:hAnsi="Times New Roman" w:eastAsia="仿宋" w:cs="仿宋"/>
                <w:kern w:val="0"/>
                <w:sz w:val="22"/>
                <w:szCs w:val="22"/>
              </w:rPr>
              <w:t>其中：办公用房（平方米）</w:t>
            </w:r>
          </w:p>
        </w:tc>
        <w:tc>
          <w:tcPr>
            <w:tcW w:w="1678" w:type="dxa"/>
            <w:vAlign w:val="center"/>
          </w:tcPr>
          <w:p>
            <w:pPr>
              <w:spacing w:line="560" w:lineRule="exact"/>
              <w:jc w:val="center"/>
              <w:rPr>
                <w:rFonts w:ascii="仿宋_GB2312" w:hAnsi="仿宋_GB2312" w:eastAsia="仿宋_GB2312" w:cs="仿宋_GB2312"/>
              </w:rPr>
            </w:pPr>
            <w:r>
              <w:rPr>
                <w:rFonts w:ascii="仿宋_GB2312" w:hAnsi="仿宋_GB2312" w:eastAsia="仿宋_GB2312" w:cs="仿宋_GB2312"/>
              </w:rPr>
              <w:t>1000</w:t>
            </w:r>
          </w:p>
        </w:tc>
        <w:tc>
          <w:tcPr>
            <w:tcW w:w="3390" w:type="dxa"/>
            <w:vAlign w:val="center"/>
          </w:tcPr>
          <w:p>
            <w:pPr>
              <w:spacing w:line="560" w:lineRule="exact"/>
              <w:jc w:val="center"/>
              <w:rPr>
                <w:rFonts w:ascii="仿宋_GB2312" w:hAnsi="仿宋_GB2312" w:eastAsia="仿宋_GB2312" w:cs="仿宋_GB2312"/>
              </w:rPr>
            </w:pPr>
            <w:r>
              <w:rPr>
                <w:rFonts w:ascii="仿宋_GB2312" w:hAnsi="仿宋_GB2312" w:eastAsia="仿宋_GB2312" w:cs="仿宋_GB2312"/>
              </w:rP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rPr>
        <w:tc>
          <w:tcPr>
            <w:tcW w:w="3227" w:type="dxa"/>
            <w:vAlign w:val="center"/>
          </w:tcPr>
          <w:p>
            <w:pPr>
              <w:spacing w:line="560" w:lineRule="exact"/>
              <w:jc w:val="left"/>
              <w:rPr>
                <w:rFonts w:ascii="仿宋_GB2312" w:hAnsi="仿宋_GB2312" w:eastAsia="仿宋_GB2312" w:cs="Times New Roman"/>
              </w:rPr>
            </w:pPr>
            <w:r>
              <w:rPr>
                <w:rFonts w:ascii="仿宋_GB2312" w:hAnsi="仿宋_GB2312" w:eastAsia="仿宋_GB2312" w:cs="仿宋_GB2312"/>
              </w:rPr>
              <w:t>2</w:t>
            </w:r>
            <w:r>
              <w:rPr>
                <w:rFonts w:hint="eastAsia" w:ascii="仿宋_GB2312" w:hAnsi="仿宋_GB2312" w:eastAsia="仿宋_GB2312" w:cs="仿宋_GB2312"/>
              </w:rPr>
              <w:t>、车辆（台、辆）</w:t>
            </w:r>
          </w:p>
        </w:tc>
        <w:tc>
          <w:tcPr>
            <w:tcW w:w="1678" w:type="dxa"/>
            <w:vAlign w:val="center"/>
          </w:tcPr>
          <w:p>
            <w:pPr>
              <w:spacing w:line="560" w:lineRule="exact"/>
              <w:jc w:val="center"/>
              <w:rPr>
                <w:rFonts w:ascii="仿宋_GB2312" w:hAnsi="仿宋_GB2312" w:eastAsia="仿宋_GB2312" w:cs="仿宋_GB2312"/>
              </w:rPr>
            </w:pPr>
            <w:r>
              <w:rPr>
                <w:rFonts w:ascii="仿宋_GB2312" w:hAnsi="仿宋_GB2312" w:eastAsia="仿宋_GB2312" w:cs="仿宋_GB2312"/>
              </w:rPr>
              <w:t>2</w:t>
            </w:r>
          </w:p>
        </w:tc>
        <w:tc>
          <w:tcPr>
            <w:tcW w:w="3390" w:type="dxa"/>
            <w:vAlign w:val="center"/>
          </w:tcPr>
          <w:p>
            <w:pPr>
              <w:spacing w:line="560" w:lineRule="exact"/>
              <w:jc w:val="center"/>
              <w:rPr>
                <w:rFonts w:ascii="仿宋_GB2312" w:hAnsi="仿宋_GB2312" w:eastAsia="仿宋_GB2312" w:cs="仿宋_GB2312"/>
              </w:rPr>
            </w:pPr>
            <w:r>
              <w:rPr>
                <w:rFonts w:ascii="仿宋_GB2312" w:hAnsi="仿宋_GB2312" w:eastAsia="仿宋_GB2312" w:cs="仿宋_GB2312"/>
              </w:rPr>
              <w:t>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rPr>
        <w:tc>
          <w:tcPr>
            <w:tcW w:w="3227" w:type="dxa"/>
            <w:vAlign w:val="center"/>
          </w:tcPr>
          <w:p>
            <w:pPr>
              <w:spacing w:line="560" w:lineRule="exact"/>
              <w:jc w:val="left"/>
              <w:rPr>
                <w:rFonts w:ascii="仿宋_GB2312" w:hAnsi="仿宋_GB2312" w:eastAsia="仿宋_GB2312" w:cs="Times New Roman"/>
              </w:rPr>
            </w:pPr>
            <w:r>
              <w:rPr>
                <w:rFonts w:ascii="仿宋_GB2312" w:hAnsi="仿宋_GB2312" w:eastAsia="仿宋_GB2312" w:cs="仿宋_GB2312"/>
              </w:rPr>
              <w:t>3</w:t>
            </w:r>
            <w:r>
              <w:rPr>
                <w:rFonts w:hint="eastAsia" w:ascii="仿宋_GB2312" w:hAnsi="仿宋_GB2312" w:eastAsia="仿宋_GB2312" w:cs="仿宋_GB2312"/>
              </w:rPr>
              <w:t>、单价在</w:t>
            </w:r>
            <w:r>
              <w:rPr>
                <w:rFonts w:ascii="仿宋_GB2312" w:hAnsi="仿宋_GB2312" w:eastAsia="仿宋_GB2312" w:cs="仿宋_GB2312"/>
              </w:rPr>
              <w:t>20</w:t>
            </w:r>
            <w:r>
              <w:rPr>
                <w:rFonts w:hint="eastAsia" w:ascii="仿宋_GB2312" w:hAnsi="仿宋_GB2312" w:eastAsia="仿宋_GB2312" w:cs="仿宋_GB2312"/>
              </w:rPr>
              <w:t>万以上设备</w:t>
            </w:r>
          </w:p>
        </w:tc>
        <w:tc>
          <w:tcPr>
            <w:tcW w:w="1678" w:type="dxa"/>
            <w:vAlign w:val="center"/>
          </w:tcPr>
          <w:p>
            <w:pPr>
              <w:spacing w:line="560" w:lineRule="exact"/>
              <w:jc w:val="center"/>
              <w:rPr>
                <w:rFonts w:ascii="仿宋_GB2312" w:hAnsi="仿宋_GB2312" w:eastAsia="仿宋_GB2312" w:cs="Times New Roman"/>
              </w:rPr>
            </w:pPr>
            <w:r>
              <w:rPr>
                <w:rFonts w:ascii="仿宋_GB2312" w:hAnsi="仿宋_GB2312" w:eastAsia="仿宋_GB2312" w:cs="仿宋_GB2312"/>
              </w:rPr>
              <w:t>——</w:t>
            </w:r>
          </w:p>
        </w:tc>
        <w:tc>
          <w:tcPr>
            <w:tcW w:w="3390" w:type="dxa"/>
            <w:vAlign w:val="center"/>
          </w:tcPr>
          <w:p>
            <w:pPr>
              <w:spacing w:line="560" w:lineRule="exact"/>
              <w:jc w:val="center"/>
              <w:rPr>
                <w:rFonts w:ascii="仿宋_GB2312" w:hAnsi="仿宋_GB2312" w:eastAsia="仿宋_GB2312" w:cs="Times New Roman"/>
              </w:rPr>
            </w:pPr>
            <w:r>
              <w:rPr>
                <w:rFonts w:ascii="仿宋_GB2312" w:hAnsi="仿宋_GB2312" w:eastAsia="仿宋_GB2312" w:cs="仿宋_GB231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rPr>
        <w:tc>
          <w:tcPr>
            <w:tcW w:w="3227" w:type="dxa"/>
            <w:vAlign w:val="center"/>
          </w:tcPr>
          <w:p>
            <w:pPr>
              <w:spacing w:line="560" w:lineRule="exact"/>
              <w:jc w:val="left"/>
              <w:rPr>
                <w:rFonts w:ascii="仿宋_GB2312" w:hAnsi="仿宋_GB2312" w:eastAsia="仿宋_GB2312" w:cs="Times New Roman"/>
              </w:rPr>
            </w:pPr>
            <w:r>
              <w:rPr>
                <w:rFonts w:ascii="仿宋_GB2312" w:hAnsi="仿宋_GB2312" w:eastAsia="仿宋_GB2312" w:cs="仿宋_GB2312"/>
              </w:rPr>
              <w:t>4</w:t>
            </w:r>
            <w:r>
              <w:rPr>
                <w:rFonts w:hint="eastAsia" w:ascii="仿宋_GB2312" w:hAnsi="仿宋_GB2312" w:eastAsia="仿宋_GB2312" w:cs="仿宋_GB2312"/>
              </w:rPr>
              <w:t>、其他固定资产</w:t>
            </w:r>
          </w:p>
        </w:tc>
        <w:tc>
          <w:tcPr>
            <w:tcW w:w="1678" w:type="dxa"/>
            <w:vAlign w:val="center"/>
          </w:tcPr>
          <w:p>
            <w:pPr>
              <w:spacing w:line="560" w:lineRule="exact"/>
              <w:jc w:val="center"/>
              <w:rPr>
                <w:rFonts w:ascii="仿宋_GB2312" w:hAnsi="仿宋_GB2312" w:eastAsia="仿宋_GB2312" w:cs="Times New Roman"/>
              </w:rPr>
            </w:pPr>
            <w:r>
              <w:rPr>
                <w:rFonts w:ascii="仿宋_GB2312" w:hAnsi="仿宋_GB2312" w:eastAsia="仿宋_GB2312" w:cs="仿宋_GB2312"/>
              </w:rPr>
              <w:t>——</w:t>
            </w:r>
          </w:p>
        </w:tc>
        <w:tc>
          <w:tcPr>
            <w:tcW w:w="3390" w:type="dxa"/>
            <w:vAlign w:val="center"/>
          </w:tcPr>
          <w:p>
            <w:pPr>
              <w:spacing w:line="560" w:lineRule="exact"/>
              <w:jc w:val="center"/>
              <w:rPr>
                <w:rFonts w:ascii="仿宋_GB2312" w:hAnsi="仿宋_GB2312" w:eastAsia="仿宋_GB2312" w:cs="仿宋_GB2312"/>
              </w:rPr>
            </w:pPr>
            <w:r>
              <w:rPr>
                <w:rFonts w:ascii="仿宋_GB2312" w:hAnsi="仿宋_GB2312" w:eastAsia="仿宋_GB2312" w:cs="仿宋_GB2312"/>
              </w:rPr>
              <w:t>11.53</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ascii="黑体" w:hAnsi="黑体" w:eastAsia="黑体" w:cs="Times New Roman"/>
          <w:sz w:val="32"/>
          <w:szCs w:val="32"/>
        </w:rPr>
        <w:br w:type="page"/>
      </w:r>
      <w:r>
        <w:rPr>
          <w:rFonts w:hint="eastAsia" w:ascii="黑体" w:hAnsi="黑体" w:eastAsia="黑体" w:cs="黑体"/>
          <w:sz w:val="32"/>
          <w:szCs w:val="32"/>
        </w:rPr>
        <w:t>八、名词解释</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1</w:t>
      </w:r>
      <w:r>
        <w:rPr>
          <w:rFonts w:hint="eastAsia" w:ascii="仿宋_GB2312" w:hAnsi="宋体" w:eastAsia="仿宋_GB2312" w:cs="宋体"/>
          <w:sz w:val="32"/>
          <w:szCs w:val="32"/>
        </w:rPr>
        <w:t>、一般公共预算拨款收入：指县级财政当年拨付的资金。</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2</w:t>
      </w:r>
      <w:r>
        <w:rPr>
          <w:rFonts w:hint="eastAsia" w:ascii="仿宋_GB2312" w:hAnsi="宋体" w:eastAsia="仿宋_GB2312" w:cs="宋体"/>
          <w:sz w:val="32"/>
          <w:szCs w:val="32"/>
        </w:rPr>
        <w:t>、事业收入：指事业单位开展专业业务活动及辅助活动所取得的收入。</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3</w:t>
      </w:r>
      <w:r>
        <w:rPr>
          <w:rFonts w:hint="eastAsia" w:ascii="仿宋_GB2312" w:hAnsi="宋体" w:eastAsia="仿宋_GB2312" w:cs="宋体"/>
          <w:sz w:val="32"/>
          <w:szCs w:val="32"/>
        </w:rPr>
        <w:t>、其他收入：指除</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一般公共预算拨款收入</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事业收入</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等以外的收入。主要是按规定动用的租房收入、存款利息收入等。</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4</w:t>
      </w:r>
      <w:r>
        <w:rPr>
          <w:rFonts w:hint="eastAsia" w:ascii="仿宋_GB2312" w:hAnsi="宋体" w:eastAsia="仿宋_GB2312" w:cs="宋体"/>
          <w:sz w:val="32"/>
          <w:szCs w:val="32"/>
        </w:rPr>
        <w:t>、基本支出：指为保障机构正常运转、完成日常工作任务而发生的人员支出和公用支出。</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5</w:t>
      </w:r>
      <w:r>
        <w:rPr>
          <w:rFonts w:hint="eastAsia" w:ascii="仿宋_GB2312" w:hAnsi="宋体" w:eastAsia="仿宋_GB2312" w:cs="宋体"/>
          <w:sz w:val="32"/>
          <w:szCs w:val="32"/>
        </w:rPr>
        <w:t>、项目支出：指在基本支出之外为完成特定行政任务和事业发展目标所发生的支出。</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6</w:t>
      </w:r>
      <w:r>
        <w:rPr>
          <w:rFonts w:hint="eastAsia" w:ascii="仿宋_GB2312" w:hAnsi="宋体" w:eastAsia="仿宋_GB2312" w:cs="宋体"/>
          <w:sz w:val="32"/>
          <w:szCs w:val="32"/>
        </w:rPr>
        <w:t>、上缴上级支出：指下级单位上缴上级的支出。</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7</w:t>
      </w:r>
      <w:r>
        <w:rPr>
          <w:rFonts w:hint="eastAsia" w:ascii="仿宋_GB2312" w:hAnsi="宋体" w:eastAsia="仿宋_GB2312" w:cs="宋体"/>
          <w:sz w:val="32"/>
          <w:szCs w:val="32"/>
        </w:rPr>
        <w:t>、</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三公</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经费：纳入县级财政预算管理的</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三公</w:t>
      </w:r>
      <w:r>
        <w:rPr>
          <w:rFonts w:hint="eastAsia" w:ascii="仿宋_GB2312" w:hAnsi="Times New Roman" w:eastAsia="仿宋_GB2312" w:cs="Times New Roman"/>
          <w:sz w:val="32"/>
          <w:szCs w:val="32"/>
        </w:rPr>
        <w:t>”</w:t>
      </w:r>
      <w:r>
        <w:rPr>
          <w:rFonts w:hint="eastAsia" w:ascii="仿宋_GB2312" w:hAnsi="宋体" w:eastAsia="仿宋_GB2312" w:cs="宋体"/>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8</w:t>
      </w:r>
      <w:r>
        <w:rPr>
          <w:rFonts w:hint="eastAsia" w:ascii="仿宋_GB2312" w:hAnsi="宋体" w:eastAsia="仿宋_GB2312" w:cs="宋体"/>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9</w:t>
      </w:r>
      <w:r>
        <w:rPr>
          <w:rFonts w:hint="eastAsia" w:ascii="仿宋_GB2312" w:hAnsi="宋体" w:eastAsia="仿宋_GB2312" w:cs="宋体"/>
          <w:sz w:val="32"/>
          <w:szCs w:val="32"/>
        </w:rPr>
        <w:t>、上年结转：指以前年度尚未完成、结转到本年仍按原规定用途继续使用的资金。</w:t>
      </w:r>
    </w:p>
    <w:p>
      <w:pPr>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10</w:t>
      </w:r>
      <w:r>
        <w:rPr>
          <w:rFonts w:hint="eastAsia" w:ascii="仿宋_GB2312" w:hAnsi="宋体" w:eastAsia="仿宋_GB2312" w:cs="宋体"/>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仿宋_GB2312" w:hAnsi="Times New Roman" w:eastAsia="仿宋_GB2312" w:cs="Times New Roman"/>
          <w:sz w:val="32"/>
          <w:szCs w:val="32"/>
        </w:rPr>
      </w:pPr>
      <w:r>
        <w:rPr>
          <w:rFonts w:hint="eastAsia" w:ascii="仿宋_GB2312" w:hAnsi="宋体" w:eastAsia="仿宋_GB2312" w:cs="宋体"/>
          <w:sz w:val="32"/>
          <w:szCs w:val="32"/>
        </w:rPr>
        <w:t>我部门无其他需要说明的事项。</w:t>
      </w:r>
    </w:p>
    <w:sectPr>
      <w:footerReference r:id="rId3" w:type="default"/>
      <w:pgSz w:w="11906" w:h="16838"/>
      <w:pgMar w:top="1440" w:right="1797" w:bottom="144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uto" w:vAnchor="text" w:hAnchor="margin" w:xAlign="outside" w:y="1"/>
      <w:rPr>
        <w:rStyle w:val="16"/>
      </w:rPr>
    </w:pPr>
    <w:r>
      <w:rPr>
        <w:rStyle w:val="16"/>
      </w:rPr>
      <w:fldChar w:fldCharType="begin"/>
    </w:r>
    <w:r>
      <w:rPr>
        <w:rStyle w:val="16"/>
      </w:rPr>
      <w:instrText xml:space="preserve">PAGE  </w:instrText>
    </w:r>
    <w:r>
      <w:rPr>
        <w:rStyle w:val="16"/>
      </w:rPr>
      <w:fldChar w:fldCharType="separate"/>
    </w:r>
    <w:r>
      <w:rPr>
        <w:rStyle w:val="16"/>
      </w:rPr>
      <w:t>24</w:t>
    </w:r>
    <w:r>
      <w:rPr>
        <w:rStyle w:val="16"/>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1"/>
  <w:bordersDoNotSurroundFooter w:val="1"/>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TI0NzZkM2FlNzgxMjg0OGIyY2MyODc1N2ZkZmFjNDcifQ=="/>
  </w:docVars>
  <w:rsids>
    <w:rsidRoot w:val="00EE71BA"/>
    <w:rsid w:val="00000A25"/>
    <w:rsid w:val="00004D27"/>
    <w:rsid w:val="000058E9"/>
    <w:rsid w:val="00025916"/>
    <w:rsid w:val="0003407A"/>
    <w:rsid w:val="000401A9"/>
    <w:rsid w:val="0007419A"/>
    <w:rsid w:val="0008075E"/>
    <w:rsid w:val="00085728"/>
    <w:rsid w:val="000A1BA0"/>
    <w:rsid w:val="000C7140"/>
    <w:rsid w:val="001A0CA8"/>
    <w:rsid w:val="001A5F2E"/>
    <w:rsid w:val="001C5310"/>
    <w:rsid w:val="001D58FB"/>
    <w:rsid w:val="00216C56"/>
    <w:rsid w:val="002460C9"/>
    <w:rsid w:val="00265C3E"/>
    <w:rsid w:val="00284B2D"/>
    <w:rsid w:val="00323B29"/>
    <w:rsid w:val="00340021"/>
    <w:rsid w:val="003479B4"/>
    <w:rsid w:val="00355EF9"/>
    <w:rsid w:val="003565AB"/>
    <w:rsid w:val="0039059E"/>
    <w:rsid w:val="003A4115"/>
    <w:rsid w:val="003C427B"/>
    <w:rsid w:val="003C598E"/>
    <w:rsid w:val="003C780B"/>
    <w:rsid w:val="00402E17"/>
    <w:rsid w:val="00403161"/>
    <w:rsid w:val="00451C40"/>
    <w:rsid w:val="004552CD"/>
    <w:rsid w:val="00495D30"/>
    <w:rsid w:val="004A16C5"/>
    <w:rsid w:val="004B2127"/>
    <w:rsid w:val="005006AF"/>
    <w:rsid w:val="005352F1"/>
    <w:rsid w:val="00551009"/>
    <w:rsid w:val="0056251A"/>
    <w:rsid w:val="0056650B"/>
    <w:rsid w:val="0058052E"/>
    <w:rsid w:val="00587A14"/>
    <w:rsid w:val="005D4C19"/>
    <w:rsid w:val="005D6ABA"/>
    <w:rsid w:val="00606E57"/>
    <w:rsid w:val="006105CB"/>
    <w:rsid w:val="00617AEB"/>
    <w:rsid w:val="006700B4"/>
    <w:rsid w:val="006757BB"/>
    <w:rsid w:val="00684916"/>
    <w:rsid w:val="00686D03"/>
    <w:rsid w:val="006B4A50"/>
    <w:rsid w:val="006C62D3"/>
    <w:rsid w:val="006C6915"/>
    <w:rsid w:val="006D4317"/>
    <w:rsid w:val="006D5368"/>
    <w:rsid w:val="007438F0"/>
    <w:rsid w:val="007471D1"/>
    <w:rsid w:val="00774BC1"/>
    <w:rsid w:val="00792E9F"/>
    <w:rsid w:val="007B2DB6"/>
    <w:rsid w:val="007B71E6"/>
    <w:rsid w:val="007C6D78"/>
    <w:rsid w:val="007D5075"/>
    <w:rsid w:val="007E0239"/>
    <w:rsid w:val="007F0341"/>
    <w:rsid w:val="00863133"/>
    <w:rsid w:val="008B46B7"/>
    <w:rsid w:val="008B58A8"/>
    <w:rsid w:val="00916D2A"/>
    <w:rsid w:val="00917549"/>
    <w:rsid w:val="00926D94"/>
    <w:rsid w:val="00944FEA"/>
    <w:rsid w:val="0097444F"/>
    <w:rsid w:val="00976326"/>
    <w:rsid w:val="00982A78"/>
    <w:rsid w:val="00982EB1"/>
    <w:rsid w:val="009837BA"/>
    <w:rsid w:val="00985F69"/>
    <w:rsid w:val="009A521C"/>
    <w:rsid w:val="009D7932"/>
    <w:rsid w:val="009E12B6"/>
    <w:rsid w:val="009E529F"/>
    <w:rsid w:val="009E6C1B"/>
    <w:rsid w:val="00A36441"/>
    <w:rsid w:val="00A575C6"/>
    <w:rsid w:val="00A77331"/>
    <w:rsid w:val="00AF52CF"/>
    <w:rsid w:val="00B146DE"/>
    <w:rsid w:val="00B21820"/>
    <w:rsid w:val="00B449E0"/>
    <w:rsid w:val="00B50B7D"/>
    <w:rsid w:val="00B70730"/>
    <w:rsid w:val="00B70A53"/>
    <w:rsid w:val="00B80E71"/>
    <w:rsid w:val="00BB62CC"/>
    <w:rsid w:val="00BD190D"/>
    <w:rsid w:val="00BE06AC"/>
    <w:rsid w:val="00C15898"/>
    <w:rsid w:val="00C326D3"/>
    <w:rsid w:val="00C3394B"/>
    <w:rsid w:val="00C34813"/>
    <w:rsid w:val="00C36342"/>
    <w:rsid w:val="00C515B5"/>
    <w:rsid w:val="00C70287"/>
    <w:rsid w:val="00C72CBE"/>
    <w:rsid w:val="00C748C5"/>
    <w:rsid w:val="00C861E2"/>
    <w:rsid w:val="00CA16D2"/>
    <w:rsid w:val="00CC10A1"/>
    <w:rsid w:val="00CE6CF0"/>
    <w:rsid w:val="00D41162"/>
    <w:rsid w:val="00D607DA"/>
    <w:rsid w:val="00D966E9"/>
    <w:rsid w:val="00DA4D9F"/>
    <w:rsid w:val="00DC6EE5"/>
    <w:rsid w:val="00E16CAD"/>
    <w:rsid w:val="00E729B3"/>
    <w:rsid w:val="00E760EF"/>
    <w:rsid w:val="00EA044F"/>
    <w:rsid w:val="00EB35A8"/>
    <w:rsid w:val="00EB6CB0"/>
    <w:rsid w:val="00EE71BA"/>
    <w:rsid w:val="00F12671"/>
    <w:rsid w:val="00F243D7"/>
    <w:rsid w:val="00F41B33"/>
    <w:rsid w:val="00F517A5"/>
    <w:rsid w:val="00F867E4"/>
    <w:rsid w:val="056D17C0"/>
    <w:rsid w:val="112D224D"/>
    <w:rsid w:val="118A2662"/>
    <w:rsid w:val="21A44800"/>
    <w:rsid w:val="2DF57400"/>
    <w:rsid w:val="31DE2858"/>
    <w:rsid w:val="3DB25CB5"/>
    <w:rsid w:val="441C04E9"/>
    <w:rsid w:val="5F175C22"/>
    <w:rsid w:val="5F383030"/>
    <w:rsid w:val="6573016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autoRedefine/>
    <w:semiHidden/>
    <w:qFormat/>
    <w:uiPriority w:val="99"/>
    <w:rPr>
      <w:rFonts w:ascii="Times New Roman" w:hAnsi="Times New Roman" w:cs="Times New Roman"/>
    </w:rPr>
  </w:style>
  <w:style w:type="paragraph" w:styleId="5">
    <w:name w:val="footnote text"/>
    <w:basedOn w:val="1"/>
    <w:link w:val="14"/>
    <w:autoRedefine/>
    <w:semiHidden/>
    <w:qFormat/>
    <w:uiPriority w:val="99"/>
    <w:pPr>
      <w:snapToGrid w:val="0"/>
      <w:jc w:val="left"/>
    </w:pPr>
    <w:rPr>
      <w:sz w:val="18"/>
      <w:szCs w:val="18"/>
    </w:rPr>
  </w:style>
  <w:style w:type="paragraph" w:styleId="6">
    <w:name w:val="toc 2"/>
    <w:basedOn w:val="1"/>
    <w:next w:val="1"/>
    <w:autoRedefine/>
    <w:semiHidden/>
    <w:uiPriority w:val="99"/>
    <w:pPr>
      <w:ind w:left="420" w:leftChars="200"/>
    </w:pPr>
    <w:rPr>
      <w:rFonts w:ascii="Times New Roman" w:hAnsi="Times New Roman" w:cs="Times New Roman"/>
    </w:rPr>
  </w:style>
  <w:style w:type="character" w:styleId="9">
    <w:name w:val="page number"/>
    <w:basedOn w:val="8"/>
    <w:uiPriority w:val="99"/>
    <w:rPr>
      <w:rFonts w:cs="Times New Roman"/>
    </w:rPr>
  </w:style>
  <w:style w:type="character" w:styleId="10">
    <w:name w:val="Hyperlink"/>
    <w:basedOn w:val="8"/>
    <w:uiPriority w:val="99"/>
    <w:rPr>
      <w:rFonts w:cs="Times New Roman"/>
      <w:color w:val="0000FF"/>
      <w:u w:val="single"/>
    </w:rPr>
  </w:style>
  <w:style w:type="character" w:styleId="11">
    <w:name w:val="footnote reference"/>
    <w:basedOn w:val="8"/>
    <w:semiHidden/>
    <w:uiPriority w:val="99"/>
    <w:rPr>
      <w:rFonts w:cs="Times New Roman"/>
      <w:vertAlign w:val="superscript"/>
    </w:rPr>
  </w:style>
  <w:style w:type="character" w:customStyle="1" w:styleId="12">
    <w:name w:val="Footer Char"/>
    <w:basedOn w:val="8"/>
    <w:link w:val="2"/>
    <w:semiHidden/>
    <w:locked/>
    <w:uiPriority w:val="99"/>
    <w:rPr>
      <w:rFonts w:ascii="Times New Roman" w:hAnsi="Times New Roman" w:eastAsia="宋体" w:cs="Times New Roman"/>
      <w:sz w:val="18"/>
      <w:szCs w:val="18"/>
    </w:rPr>
  </w:style>
  <w:style w:type="character" w:customStyle="1" w:styleId="13">
    <w:name w:val="Header Char"/>
    <w:basedOn w:val="8"/>
    <w:link w:val="3"/>
    <w:semiHidden/>
    <w:locked/>
    <w:uiPriority w:val="99"/>
    <w:rPr>
      <w:rFonts w:ascii="Times New Roman" w:hAnsi="Times New Roman" w:eastAsia="宋体" w:cs="Times New Roman"/>
      <w:sz w:val="18"/>
      <w:szCs w:val="18"/>
    </w:rPr>
  </w:style>
  <w:style w:type="character" w:customStyle="1" w:styleId="14">
    <w:name w:val="Footnote Text Char"/>
    <w:basedOn w:val="8"/>
    <w:link w:val="5"/>
    <w:autoRedefine/>
    <w:semiHidden/>
    <w:qFormat/>
    <w:locked/>
    <w:uiPriority w:val="99"/>
    <w:rPr>
      <w:rFonts w:ascii="Calibri" w:hAnsi="Calibri" w:cs="Calibri"/>
      <w:sz w:val="18"/>
      <w:szCs w:val="18"/>
    </w:rPr>
  </w:style>
  <w:style w:type="paragraph" w:customStyle="1" w:styleId="15">
    <w:name w:val="Char"/>
    <w:basedOn w:val="1"/>
    <w:uiPriority w:val="99"/>
    <w:rPr>
      <w:rFonts w:ascii="Times New Roman" w:hAnsi="Times New Roman" w:cs="Times New Roman"/>
    </w:rPr>
  </w:style>
  <w:style w:type="character" w:customStyle="1" w:styleId="16">
    <w:name w:val="页码1"/>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24</Pages>
  <Words>1468</Words>
  <Characters>8373</Characters>
  <Lines>0</Lines>
  <Paragraphs>0</Paragraphs>
  <TotalTime>35</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2020-02-17T05:42:00Z</dcterms:created>
  <dc:creator>guest</dc:creator>
  <cp:lastModifiedBy>然</cp:lastModifiedBy>
  <cp:lastPrinted>2020-01-10T15:53:00Z</cp:lastPrinted>
  <dcterms:modified xsi:type="dcterms:W3CDTF">2024-01-16T08:01:16Z</dcterms:modified>
  <dc:title>o</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9C7444181BBC483081831E154EBC8DD9_12</vt:lpwstr>
  </property>
</Properties>
</file>