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eastAsia="Times New Roman"/>
          <w:highlight w:val="none"/>
        </w:rPr>
      </w:pPr>
      <w:r>
        <w:rPr>
          <w:rFonts w:ascii="黑体" w:eastAsia="黑体" w:cs="黑体"/>
          <w:b/>
          <w:color w:val="000000"/>
          <w:sz w:val="44"/>
          <w:highlight w:val="none"/>
        </w:rPr>
        <w:t>2022</w:t>
      </w:r>
      <w:r>
        <w:rPr>
          <w:rFonts w:hint="eastAsia" w:ascii="黑体" w:eastAsia="黑体" w:cs="黑体"/>
          <w:b/>
          <w:color w:val="000000"/>
          <w:sz w:val="44"/>
          <w:highlight w:val="none"/>
        </w:rPr>
        <w:t>年</w:t>
      </w:r>
      <w:r>
        <w:rPr>
          <w:rFonts w:hint="eastAsia" w:ascii="黑体" w:eastAsia="黑体" w:cs="黑体"/>
          <w:b/>
          <w:color w:val="000000"/>
          <w:sz w:val="44"/>
          <w:highlight w:val="none"/>
          <w:lang w:eastAsia="zh-CN"/>
        </w:rPr>
        <w:t>灵寿县青同镇</w:t>
      </w:r>
      <w:r>
        <w:rPr>
          <w:rFonts w:hint="eastAsia" w:ascii="黑体" w:eastAsia="黑体" w:cs="黑体"/>
          <w:b/>
          <w:color w:val="000000"/>
          <w:sz w:val="44"/>
          <w:highlight w:val="none"/>
        </w:rPr>
        <w:t>部门预算信息公开目录</w:t>
      </w:r>
      <w:r>
        <w:rPr>
          <w:rFonts w:ascii="黑体" w:eastAsia="黑体" w:cs="黑体"/>
          <w:b/>
          <w:color w:val="000000"/>
          <w:sz w:val="30"/>
          <w:highlight w:val="none"/>
        </w:rPr>
        <w:t xml:space="preserve"> </w:t>
      </w:r>
    </w:p>
    <w:p>
      <w:pPr>
        <w:jc w:val="center"/>
        <w:rPr>
          <w:rFonts w:eastAsia="Times New Roman"/>
          <w:highlight w:val="none"/>
        </w:rPr>
      </w:pPr>
    </w:p>
    <w:p>
      <w:pPr>
        <w:jc w:val="center"/>
        <w:rPr>
          <w:rFonts w:eastAsia="Times New Roman"/>
          <w:sz w:val="32"/>
          <w:szCs w:val="32"/>
          <w:highlight w:val="none"/>
        </w:rPr>
      </w:pPr>
    </w:p>
    <w:p>
      <w:pPr>
        <w:rPr>
          <w:rFonts w:eastAsia="Times New Roman"/>
          <w:sz w:val="32"/>
          <w:szCs w:val="32"/>
          <w:highlight w:val="none"/>
        </w:rPr>
      </w:pPr>
      <w:r>
        <w:rPr>
          <w:rFonts w:hint="eastAsia" w:ascii="宋体" w:cs="宋体"/>
          <w:b/>
          <w:color w:val="000000"/>
          <w:sz w:val="36"/>
          <w:szCs w:val="36"/>
          <w:highlight w:val="none"/>
        </w:rPr>
        <w:t>部门预算公开表</w:t>
      </w:r>
    </w:p>
    <w:p>
      <w:pPr>
        <w:pStyle w:val="10"/>
        <w:tabs>
          <w:tab w:val="right" w:leader="dot" w:pos="14800"/>
        </w:tabs>
        <w:rPr>
          <w:sz w:val="30"/>
          <w:szCs w:val="30"/>
        </w:rPr>
      </w:pPr>
      <w:r>
        <w:rPr>
          <w:highlight w:val="none"/>
        </w:rPr>
        <w:fldChar w:fldCharType="begin"/>
      </w:r>
      <w:r>
        <w:rPr>
          <w:highlight w:val="none"/>
        </w:rPr>
        <w:instrText xml:space="preserve">TOC \o "2-2" \h \z \u </w:instrText>
      </w:r>
      <w:r>
        <w:rPr>
          <w:highlight w:val="none"/>
        </w:rPr>
        <w:fldChar w:fldCharType="separate"/>
      </w:r>
      <w:r>
        <w:rPr>
          <w:sz w:val="30"/>
          <w:szCs w:val="30"/>
        </w:rPr>
        <w:fldChar w:fldCharType="begin"/>
      </w:r>
      <w:r>
        <w:rPr>
          <w:sz w:val="30"/>
          <w:szCs w:val="30"/>
        </w:rPr>
        <w:instrText xml:space="preserve">Hyperlink \l "_Toc30902866"</w:instrText>
      </w:r>
      <w:r>
        <w:rPr>
          <w:sz w:val="30"/>
          <w:szCs w:val="30"/>
        </w:rPr>
        <w:fldChar w:fldCharType="separate"/>
      </w:r>
      <w:r>
        <w:rPr>
          <w:rFonts w:hint="eastAsia" w:ascii="方正小标宋_GBK" w:eastAsia="方正小标宋_GBK" w:cs="方正小标宋_GBK"/>
          <w:sz w:val="30"/>
          <w:szCs w:val="30"/>
          <w:highlight w:val="none"/>
        </w:rPr>
        <w:t>部门预算收支总表</w:t>
      </w:r>
      <w:r>
        <w:rPr>
          <w:sz w:val="30"/>
          <w:szCs w:val="30"/>
        </w:rPr>
        <w:tab/>
      </w:r>
      <w:r>
        <w:rPr>
          <w:sz w:val="30"/>
          <w:szCs w:val="30"/>
        </w:rPr>
        <w:fldChar w:fldCharType="begin"/>
      </w:r>
      <w:r>
        <w:rPr>
          <w:sz w:val="30"/>
          <w:szCs w:val="30"/>
        </w:rPr>
        <w:instrText xml:space="preserve">PageRef _Toc30902866 \h</w:instrText>
      </w:r>
      <w:r>
        <w:rPr>
          <w:sz w:val="30"/>
          <w:szCs w:val="30"/>
        </w:rPr>
        <w:fldChar w:fldCharType="separate"/>
      </w:r>
      <w:r>
        <w:rPr>
          <w:sz w:val="30"/>
          <w:szCs w:val="30"/>
        </w:rPr>
        <w:t>3</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"_Toc30902867"</w:instrText>
      </w:r>
      <w:r>
        <w:rPr>
          <w:sz w:val="30"/>
          <w:szCs w:val="30"/>
        </w:rPr>
        <w:fldChar w:fldCharType="separate"/>
      </w:r>
      <w:r>
        <w:rPr>
          <w:rFonts w:hint="eastAsia" w:ascii="方正小标宋_GBK" w:eastAsia="方正小标宋_GBK" w:cs="方正小标宋_GBK"/>
          <w:sz w:val="30"/>
          <w:szCs w:val="30"/>
          <w:highlight w:val="none"/>
        </w:rPr>
        <w:t>部门预算收入总表</w:t>
      </w:r>
      <w:r>
        <w:rPr>
          <w:sz w:val="30"/>
          <w:szCs w:val="30"/>
        </w:rPr>
        <w:tab/>
      </w:r>
      <w:r>
        <w:rPr>
          <w:sz w:val="30"/>
          <w:szCs w:val="30"/>
        </w:rPr>
        <w:fldChar w:fldCharType="begin"/>
      </w:r>
      <w:r>
        <w:rPr>
          <w:sz w:val="30"/>
          <w:szCs w:val="30"/>
        </w:rPr>
        <w:instrText xml:space="preserve">PageRef _Toc30902867 \h</w:instrText>
      </w:r>
      <w:r>
        <w:rPr>
          <w:sz w:val="30"/>
          <w:szCs w:val="30"/>
        </w:rPr>
        <w:fldChar w:fldCharType="separate"/>
      </w:r>
      <w:r>
        <w:rPr>
          <w:sz w:val="30"/>
          <w:szCs w:val="30"/>
        </w:rPr>
        <w:t>5</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"_Toc30902868"</w:instrText>
      </w:r>
      <w:r>
        <w:rPr>
          <w:sz w:val="30"/>
          <w:szCs w:val="30"/>
        </w:rPr>
        <w:fldChar w:fldCharType="separate"/>
      </w:r>
      <w:r>
        <w:rPr>
          <w:rFonts w:hint="eastAsia" w:ascii="方正小标宋_GBK" w:eastAsia="方正小标宋_GBK" w:cs="方正小标宋_GBK"/>
          <w:sz w:val="30"/>
          <w:szCs w:val="30"/>
          <w:highlight w:val="none"/>
        </w:rPr>
        <w:t>部门预算支出总表</w:t>
      </w:r>
      <w:r>
        <w:rPr>
          <w:sz w:val="30"/>
          <w:szCs w:val="30"/>
        </w:rPr>
        <w:tab/>
      </w:r>
      <w:r>
        <w:rPr>
          <w:sz w:val="30"/>
          <w:szCs w:val="30"/>
        </w:rPr>
        <w:fldChar w:fldCharType="begin"/>
      </w:r>
      <w:r>
        <w:rPr>
          <w:sz w:val="30"/>
          <w:szCs w:val="30"/>
        </w:rPr>
        <w:instrText xml:space="preserve">PageRef _Toc30902868 \h</w:instrText>
      </w:r>
      <w:r>
        <w:rPr>
          <w:sz w:val="30"/>
          <w:szCs w:val="30"/>
        </w:rPr>
        <w:fldChar w:fldCharType="separate"/>
      </w:r>
      <w:r>
        <w:rPr>
          <w:sz w:val="30"/>
          <w:szCs w:val="30"/>
        </w:rPr>
        <w:t>9</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"_Toc30902869"</w:instrText>
      </w:r>
      <w:r>
        <w:rPr>
          <w:sz w:val="30"/>
          <w:szCs w:val="30"/>
        </w:rPr>
        <w:fldChar w:fldCharType="separate"/>
      </w:r>
      <w:r>
        <w:rPr>
          <w:rFonts w:hint="eastAsia" w:ascii="方正小标宋_GBK" w:eastAsia="方正小标宋_GBK" w:cs="方正小标宋_GBK"/>
          <w:sz w:val="30"/>
          <w:szCs w:val="30"/>
          <w:highlight w:val="none"/>
        </w:rPr>
        <w:t>部门预算财政拨款收支总表</w:t>
      </w:r>
      <w:r>
        <w:rPr>
          <w:sz w:val="30"/>
          <w:szCs w:val="30"/>
        </w:rPr>
        <w:tab/>
      </w:r>
      <w:r>
        <w:rPr>
          <w:sz w:val="30"/>
          <w:szCs w:val="30"/>
        </w:rPr>
        <w:fldChar w:fldCharType="begin"/>
      </w:r>
      <w:r>
        <w:rPr>
          <w:sz w:val="30"/>
          <w:szCs w:val="30"/>
        </w:rPr>
        <w:instrText xml:space="preserve">PageRef _Toc30902869 \h</w:instrText>
      </w:r>
      <w:r>
        <w:rPr>
          <w:sz w:val="30"/>
          <w:szCs w:val="30"/>
        </w:rPr>
        <w:fldChar w:fldCharType="separate"/>
      </w:r>
      <w:r>
        <w:rPr>
          <w:sz w:val="30"/>
          <w:szCs w:val="30"/>
        </w:rPr>
        <w:t>12</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"_Toc30902870"</w:instrText>
      </w:r>
      <w:r>
        <w:rPr>
          <w:sz w:val="30"/>
          <w:szCs w:val="30"/>
        </w:rPr>
        <w:fldChar w:fldCharType="separate"/>
      </w:r>
      <w:r>
        <w:rPr>
          <w:rFonts w:hint="eastAsia" w:ascii="方正小标宋_GBK" w:eastAsia="方正小标宋_GBK" w:cs="方正小标宋_GBK"/>
          <w:sz w:val="30"/>
          <w:szCs w:val="30"/>
          <w:highlight w:val="none"/>
        </w:rPr>
        <w:t>部门预算一般公共预算财政拨款支出表</w:t>
      </w:r>
      <w:r>
        <w:rPr>
          <w:sz w:val="30"/>
          <w:szCs w:val="30"/>
        </w:rPr>
        <w:tab/>
      </w:r>
      <w:r>
        <w:rPr>
          <w:sz w:val="30"/>
          <w:szCs w:val="30"/>
        </w:rPr>
        <w:fldChar w:fldCharType="begin"/>
      </w:r>
      <w:r>
        <w:rPr>
          <w:sz w:val="30"/>
          <w:szCs w:val="30"/>
        </w:rPr>
        <w:instrText xml:space="preserve">PageRef _Toc30902870 \h</w:instrText>
      </w:r>
      <w:r>
        <w:rPr>
          <w:sz w:val="30"/>
          <w:szCs w:val="30"/>
        </w:rPr>
        <w:fldChar w:fldCharType="separate"/>
      </w:r>
      <w:r>
        <w:rPr>
          <w:sz w:val="30"/>
          <w:szCs w:val="30"/>
        </w:rPr>
        <w:t>14</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"_Toc30902871"</w:instrText>
      </w:r>
      <w:r>
        <w:rPr>
          <w:sz w:val="30"/>
          <w:szCs w:val="30"/>
        </w:rPr>
        <w:fldChar w:fldCharType="separate"/>
      </w:r>
      <w:r>
        <w:rPr>
          <w:rFonts w:hint="eastAsia" w:ascii="方正小标宋_GBK" w:eastAsia="方正小标宋_GBK" w:cs="方正小标宋_GBK"/>
          <w:sz w:val="30"/>
          <w:szCs w:val="30"/>
          <w:highlight w:val="none"/>
        </w:rPr>
        <w:t>部门预算一般公共预算财政拨款基本支出表</w:t>
      </w:r>
      <w:r>
        <w:rPr>
          <w:sz w:val="30"/>
          <w:szCs w:val="30"/>
        </w:rPr>
        <w:tab/>
      </w:r>
      <w:r>
        <w:rPr>
          <w:sz w:val="30"/>
          <w:szCs w:val="30"/>
        </w:rPr>
        <w:fldChar w:fldCharType="begin"/>
      </w:r>
      <w:r>
        <w:rPr>
          <w:sz w:val="30"/>
          <w:szCs w:val="30"/>
        </w:rPr>
        <w:instrText xml:space="preserve">PageRef _Toc30902871 \h</w:instrText>
      </w:r>
      <w:r>
        <w:rPr>
          <w:sz w:val="30"/>
          <w:szCs w:val="30"/>
        </w:rPr>
        <w:fldChar w:fldCharType="separate"/>
      </w:r>
      <w:r>
        <w:rPr>
          <w:sz w:val="30"/>
          <w:szCs w:val="30"/>
        </w:rPr>
        <w:t>17</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"_Toc30902872"</w:instrText>
      </w:r>
      <w:r>
        <w:rPr>
          <w:sz w:val="30"/>
          <w:szCs w:val="30"/>
        </w:rPr>
        <w:fldChar w:fldCharType="separate"/>
      </w:r>
      <w:r>
        <w:rPr>
          <w:rFonts w:hint="eastAsia" w:ascii="方正小标宋_GBK" w:eastAsia="方正小标宋_GBK" w:cs="方正小标宋_GBK"/>
          <w:sz w:val="30"/>
          <w:szCs w:val="30"/>
          <w:highlight w:val="none"/>
        </w:rPr>
        <w:t>部门预算政府基金预算财政拨款支出表</w:t>
      </w:r>
      <w:r>
        <w:rPr>
          <w:sz w:val="30"/>
          <w:szCs w:val="30"/>
        </w:rPr>
        <w:tab/>
      </w:r>
      <w:r>
        <w:rPr>
          <w:sz w:val="30"/>
          <w:szCs w:val="30"/>
        </w:rPr>
        <w:fldChar w:fldCharType="begin"/>
      </w:r>
      <w:r>
        <w:rPr>
          <w:sz w:val="30"/>
          <w:szCs w:val="30"/>
        </w:rPr>
        <w:instrText xml:space="preserve">PageRef _Toc30902872 \h</w:instrText>
      </w:r>
      <w:r>
        <w:rPr>
          <w:sz w:val="30"/>
          <w:szCs w:val="30"/>
        </w:rPr>
        <w:fldChar w:fldCharType="separate"/>
      </w:r>
      <w:r>
        <w:rPr>
          <w:sz w:val="30"/>
          <w:szCs w:val="30"/>
        </w:rPr>
        <w:t>19</w:t>
      </w:r>
      <w:r>
        <w:rPr>
          <w:sz w:val="30"/>
          <w:szCs w:val="30"/>
        </w:rPr>
        <w:fldChar w:fldCharType="end"/>
      </w:r>
      <w:r>
        <w:rPr>
          <w:sz w:val="30"/>
          <w:szCs w:val="30"/>
        </w:rPr>
        <w:fldChar w:fldCharType="end"/>
      </w:r>
    </w:p>
    <w:p>
      <w:pPr>
        <w:pStyle w:val="10"/>
        <w:tabs>
          <w:tab w:val="right" w:leader="dot" w:pos="14800"/>
        </w:tabs>
        <w:rPr>
          <w:sz w:val="30"/>
          <w:szCs w:val="30"/>
        </w:rPr>
      </w:pPr>
      <w:r>
        <w:rPr>
          <w:sz w:val="30"/>
          <w:szCs w:val="30"/>
        </w:rPr>
        <w:fldChar w:fldCharType="begin"/>
      </w:r>
      <w:r>
        <w:rPr>
          <w:sz w:val="30"/>
          <w:szCs w:val="30"/>
        </w:rPr>
        <w:instrText xml:space="preserve">Hyperlink \l "_Toc30902873"</w:instrText>
      </w:r>
      <w:r>
        <w:rPr>
          <w:sz w:val="30"/>
          <w:szCs w:val="30"/>
        </w:rPr>
        <w:fldChar w:fldCharType="separate"/>
      </w:r>
      <w:r>
        <w:rPr>
          <w:rFonts w:hint="eastAsia" w:ascii="方正小标宋_GBK" w:eastAsia="方正小标宋_GBK" w:cs="方正小标宋_GBK"/>
          <w:sz w:val="30"/>
          <w:szCs w:val="30"/>
          <w:highlight w:val="none"/>
        </w:rPr>
        <w:t>部门预算国有资本经营预算财政拨款支出表</w:t>
      </w:r>
      <w:r>
        <w:rPr>
          <w:sz w:val="30"/>
          <w:szCs w:val="30"/>
        </w:rPr>
        <w:tab/>
      </w:r>
      <w:r>
        <w:rPr>
          <w:sz w:val="30"/>
          <w:szCs w:val="30"/>
        </w:rPr>
        <w:fldChar w:fldCharType="begin"/>
      </w:r>
      <w:r>
        <w:rPr>
          <w:sz w:val="30"/>
          <w:szCs w:val="30"/>
        </w:rPr>
        <w:instrText xml:space="preserve">PageRef _Toc30902873 \h</w:instrText>
      </w:r>
      <w:r>
        <w:rPr>
          <w:sz w:val="30"/>
          <w:szCs w:val="30"/>
        </w:rPr>
        <w:fldChar w:fldCharType="separate"/>
      </w:r>
      <w:r>
        <w:rPr>
          <w:sz w:val="30"/>
          <w:szCs w:val="30"/>
        </w:rPr>
        <w:t>20</w:t>
      </w:r>
      <w:r>
        <w:rPr>
          <w:sz w:val="30"/>
          <w:szCs w:val="30"/>
        </w:rPr>
        <w:fldChar w:fldCharType="end"/>
      </w:r>
      <w:r>
        <w:rPr>
          <w:sz w:val="30"/>
          <w:szCs w:val="30"/>
        </w:rPr>
        <w:fldChar w:fldCharType="end"/>
      </w:r>
    </w:p>
    <w:p>
      <w:pPr>
        <w:pStyle w:val="10"/>
        <w:tabs>
          <w:tab w:val="right" w:leader="dot" w:pos="14800"/>
        </w:tabs>
      </w:pPr>
      <w:r>
        <w:rPr>
          <w:sz w:val="30"/>
          <w:szCs w:val="30"/>
        </w:rPr>
        <w:fldChar w:fldCharType="begin"/>
      </w:r>
      <w:r>
        <w:rPr>
          <w:sz w:val="30"/>
          <w:szCs w:val="30"/>
        </w:rPr>
        <w:instrText xml:space="preserve">Hyperlink \l "_Toc30902874"</w:instrText>
      </w:r>
      <w:r>
        <w:rPr>
          <w:sz w:val="30"/>
          <w:szCs w:val="30"/>
        </w:rPr>
        <w:fldChar w:fldCharType="separate"/>
      </w:r>
      <w:r>
        <w:rPr>
          <w:rFonts w:hint="eastAsia" w:ascii="方正小标宋_GBK" w:eastAsia="方正小标宋_GBK" w:cs="方正小标宋_GBK"/>
          <w:sz w:val="30"/>
          <w:szCs w:val="30"/>
          <w:highlight w:val="none"/>
        </w:rPr>
        <w:t>部门预算财政拨款“三公”经费支出表</w:t>
      </w:r>
      <w:r>
        <w:rPr>
          <w:sz w:val="30"/>
          <w:szCs w:val="30"/>
        </w:rPr>
        <w:tab/>
      </w:r>
      <w:r>
        <w:rPr>
          <w:sz w:val="30"/>
          <w:szCs w:val="30"/>
        </w:rPr>
        <w:fldChar w:fldCharType="begin"/>
      </w:r>
      <w:r>
        <w:rPr>
          <w:sz w:val="30"/>
          <w:szCs w:val="30"/>
        </w:rPr>
        <w:instrText xml:space="preserve">PageRef _Toc30902874 \h</w:instrText>
      </w:r>
      <w:r>
        <w:rPr>
          <w:sz w:val="30"/>
          <w:szCs w:val="30"/>
        </w:rPr>
        <w:fldChar w:fldCharType="separate"/>
      </w:r>
      <w:r>
        <w:rPr>
          <w:sz w:val="30"/>
          <w:szCs w:val="30"/>
        </w:rPr>
        <w:t>21</w:t>
      </w:r>
      <w:r>
        <w:rPr>
          <w:sz w:val="30"/>
          <w:szCs w:val="30"/>
        </w:rPr>
        <w:fldChar w:fldCharType="end"/>
      </w:r>
      <w:r>
        <w:rPr>
          <w:sz w:val="30"/>
          <w:szCs w:val="30"/>
        </w:rPr>
        <w:fldChar w:fldCharType="end"/>
      </w:r>
      <w:r>
        <w:rPr>
          <w:highlight w:val="none"/>
        </w:rPr>
        <w:fldChar w:fldCharType="end"/>
      </w:r>
    </w:p>
    <w:p>
      <w:pPr>
        <w:rPr>
          <w:sz w:val="30"/>
          <w:szCs w:val="30"/>
          <w:highlight w:val="none"/>
        </w:rPr>
      </w:pPr>
    </w:p>
    <w:p>
      <w:pPr>
        <w:rPr>
          <w:sz w:val="36"/>
          <w:szCs w:val="36"/>
          <w:highlight w:val="none"/>
        </w:rPr>
      </w:pPr>
      <w:r>
        <w:rPr>
          <w:rFonts w:hint="eastAsia" w:ascii="宋体" w:cs="宋体"/>
          <w:b/>
          <w:color w:val="000000"/>
          <w:sz w:val="36"/>
          <w:szCs w:val="36"/>
          <w:highlight w:val="none"/>
        </w:rPr>
        <w:t>部门预算信息公开情况说明</w:t>
      </w:r>
    </w:p>
    <w:p>
      <w:pPr>
        <w:pStyle w:val="10"/>
        <w:tabs>
          <w:tab w:val="right" w:leader="dot" w:pos="14800"/>
        </w:tabs>
        <w:rPr>
          <w:rFonts w:hint="eastAsia" w:ascii="方正小标宋_GBK" w:eastAsia="方正小标宋_GBK" w:cs="方正小标宋_GBK"/>
        </w:rPr>
      </w:pPr>
      <w:r>
        <w:rPr>
          <w:rFonts w:hint="eastAsia" w:ascii="方正小标宋_GBK" w:eastAsia="方正小标宋_GBK" w:cs="方正小标宋_GBK"/>
          <w:sz w:val="30"/>
          <w:szCs w:val="30"/>
          <w:highlight w:val="none"/>
        </w:rPr>
        <w:fldChar w:fldCharType="begin"/>
      </w:r>
      <w:r>
        <w:rPr>
          <w:rFonts w:hint="eastAsia" w:ascii="方正小标宋_GBK" w:eastAsia="方正小标宋_GBK" w:cs="方正小标宋_GBK"/>
          <w:sz w:val="30"/>
          <w:szCs w:val="30"/>
          <w:highlight w:val="none"/>
        </w:rPr>
        <w:instrText xml:space="preserve">TOC \o "3-3" \h \z \u </w:instrText>
      </w:r>
      <w:r>
        <w:rPr>
          <w:rFonts w:hint="eastAsia" w:ascii="方正小标宋_GBK" w:eastAsia="方正小标宋_GBK" w:cs="方正小标宋_GBK"/>
          <w:sz w:val="30"/>
          <w:szCs w:val="30"/>
          <w:highlight w:val="none"/>
        </w:rPr>
        <w:fldChar w:fldCharType="separate"/>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"_Toc30902875"</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一、部门职责及机构设置情况</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_Toc30902875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22</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"_Toc30902876"</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二、部门预算安排的总体情况</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_Toc30902876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24</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"_Toc30902877"</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三、机关运行经费安排情况</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_Toc30902877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25</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"_Toc30902878"</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四、财政拨款“三公”经费预算情况及增减变化原因</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_Toc30902878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25</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"_Toc30902879"</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五、预算绩效信息</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_Toc30902879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25</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"_Toc30902880"</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六、政府采购预算情况</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_Toc30902880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38</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"_Toc30902881"</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七、国有资产信息</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_Toc30902881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38</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"_Toc30902882"</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八、名词解释</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_Toc30902882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39</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p>
    <w:p>
      <w:pPr>
        <w:pStyle w:val="10"/>
        <w:tabs>
          <w:tab w:val="right" w:leader="dot" w:pos="14800"/>
        </w:tabs>
        <w:rPr>
          <w:rFonts w:hint="eastAsia" w:ascii="方正小标宋_GBK" w:eastAsia="方正小标宋_GBK" w:cs="方正小标宋_GBK"/>
          <w:sz w:val="30"/>
          <w:szCs w:val="30"/>
        </w:rPr>
      </w:pP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Hyperlink \l "_Toc30902883"</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highlight w:val="none"/>
        </w:rPr>
        <w:t>九、其他需要说明的事项</w:t>
      </w:r>
      <w:r>
        <w:rPr>
          <w:rFonts w:hint="eastAsia" w:ascii="方正小标宋_GBK" w:eastAsia="方正小标宋_GBK" w:cs="方正小标宋_GBK"/>
          <w:sz w:val="30"/>
          <w:szCs w:val="30"/>
        </w:rPr>
        <w:tab/>
      </w:r>
      <w:r>
        <w:rPr>
          <w:rFonts w:hint="eastAsia" w:ascii="方正小标宋_GBK" w:eastAsia="方正小标宋_GBK" w:cs="方正小标宋_GBK"/>
          <w:sz w:val="30"/>
          <w:szCs w:val="30"/>
        </w:rPr>
        <w:fldChar w:fldCharType="begin"/>
      </w:r>
      <w:r>
        <w:rPr>
          <w:rFonts w:hint="eastAsia" w:ascii="方正小标宋_GBK" w:eastAsia="方正小标宋_GBK" w:cs="方正小标宋_GBK"/>
          <w:sz w:val="30"/>
          <w:szCs w:val="30"/>
        </w:rPr>
        <w:instrText xml:space="preserve">PageRef _Toc30902883 \h</w:instrText>
      </w:r>
      <w:r>
        <w:rPr>
          <w:rFonts w:hint="eastAsia" w:ascii="方正小标宋_GBK" w:eastAsia="方正小标宋_GBK" w:cs="方正小标宋_GBK"/>
          <w:sz w:val="30"/>
          <w:szCs w:val="30"/>
        </w:rPr>
        <w:fldChar w:fldCharType="separate"/>
      </w:r>
      <w:r>
        <w:rPr>
          <w:rFonts w:hint="eastAsia" w:ascii="方正小标宋_GBK" w:eastAsia="方正小标宋_GBK" w:cs="方正小标宋_GBK"/>
          <w:sz w:val="30"/>
          <w:szCs w:val="30"/>
        </w:rPr>
        <w:t>39</w:t>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rPr>
        <w:fldChar w:fldCharType="end"/>
      </w:r>
      <w:r>
        <w:rPr>
          <w:rFonts w:hint="eastAsia" w:ascii="方正小标宋_GBK" w:eastAsia="方正小标宋_GBK" w:cs="方正小标宋_GBK"/>
          <w:sz w:val="30"/>
          <w:szCs w:val="30"/>
          <w:highlight w:val="none"/>
        </w:rPr>
        <w:fldChar w:fldCharType="end"/>
      </w:r>
    </w:p>
    <w:p>
      <w:pPr>
        <w:pStyle w:val="10"/>
        <w:tabs>
          <w:tab w:val="right" w:leader="dot" w:pos="14800"/>
        </w:tabs>
        <w:rPr>
          <w:rFonts w:hint="eastAsia" w:ascii="方正小标宋_GBK" w:eastAsia="方正小标宋_GBK" w:cs="方正小标宋_GBK"/>
          <w:sz w:val="30"/>
          <w:szCs w:val="30"/>
          <w:highlight w:val="none"/>
        </w:rPr>
      </w:pPr>
    </w:p>
    <w:p>
      <w:pPr>
        <w:jc w:val="center"/>
        <w:rPr>
          <w:highlight w:val="none"/>
        </w:rPr>
      </w:pPr>
      <w:r>
        <w:rPr>
          <w:rFonts w:ascii="方正小标宋_GBK" w:eastAsia="方正小标宋_GBK" w:cs="方正小标宋_GBK"/>
          <w:color w:val="000000"/>
          <w:sz w:val="44"/>
          <w:highlight w:val="none"/>
        </w:rPr>
        <w:t xml:space="preserve"> </w:t>
      </w:r>
    </w:p>
    <w:p>
      <w:pPr>
        <w:jc w:val="center"/>
      </w:pPr>
      <w:r>
        <w:rPr>
          <w:rFonts w:ascii="方正小标宋_GBK" w:eastAsia="方正小标宋_GBK" w:cs="方正小标宋_GBK"/>
          <w:color w:val="000000"/>
          <w:sz w:val="44"/>
          <w:highlight w:val="none"/>
        </w:rPr>
        <w:t xml:space="preserve"> </w:t>
      </w:r>
    </w:p>
    <w:p>
      <w:pPr>
        <w:jc w:val="center"/>
        <w:outlineLvl w:val="1"/>
        <w:rPr>
          <w:rFonts w:ascii="方正小标宋_GBK" w:eastAsia="方正小标宋_GBK" w:cs="方正小标宋_GBK"/>
          <w:color w:val="000000"/>
          <w:sz w:val="36"/>
          <w:highlight w:val="none"/>
        </w:rPr>
      </w:pPr>
      <w:bookmarkStart w:id="0" w:name="_Toc30902866"/>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center"/>
        <w:outlineLvl w:val="1"/>
        <w:rPr>
          <w:rFonts w:ascii="方正小标宋_GBK" w:eastAsia="方正小标宋_GBK" w:cs="方正小标宋_GBK"/>
          <w:color w:val="000000"/>
          <w:sz w:val="36"/>
          <w:highlight w:val="none"/>
        </w:rPr>
      </w:pPr>
    </w:p>
    <w:p>
      <w:pPr>
        <w:jc w:val="both"/>
        <w:outlineLvl w:val="1"/>
        <w:rPr>
          <w:rFonts w:ascii="方正小标宋_GBK" w:eastAsia="方正小标宋_GBK" w:cs="方正小标宋_GBK"/>
          <w:color w:val="000000"/>
          <w:sz w:val="36"/>
          <w:highlight w:val="none"/>
        </w:rPr>
      </w:pPr>
    </w:p>
    <w:p>
      <w:pPr>
        <w:jc w:val="center"/>
        <w:outlineLvl w:val="1"/>
        <w:rPr>
          <w:highlight w:val="none"/>
        </w:rPr>
      </w:pPr>
      <w:r>
        <w:rPr>
          <w:rFonts w:hint="eastAsia" w:ascii="方正小标宋_GBK" w:eastAsia="方正小标宋_GBK" w:cs="方正小标宋_GBK"/>
          <w:color w:val="000000"/>
          <w:sz w:val="36"/>
          <w:highlight w:val="none"/>
        </w:rPr>
        <w:t>部门预算收支总表</w:t>
      </w:r>
      <w:bookmarkEnd w:id="0"/>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126"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6661"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6662"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收入</w:t>
            </w:r>
          </w:p>
        </w:tc>
        <w:tc>
          <w:tcPr>
            <w:tcW w:w="6661"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4536"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w:t>
            </w:r>
            <w:r>
              <w:rPr>
                <w:highlight w:val="none"/>
              </w:rPr>
              <w:t xml:space="preserve">  </w:t>
            </w:r>
            <w:r>
              <w:rPr>
                <w:rFonts w:hint="eastAsia" w:ascii="宋体" w:cs="宋体"/>
                <w:highlight w:val="none"/>
              </w:rPr>
              <w:t>目</w:t>
            </w:r>
          </w:p>
        </w:tc>
        <w:tc>
          <w:tcPr>
            <w:tcW w:w="2126"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预算数</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w:t>
            </w:r>
            <w:r>
              <w:rPr>
                <w:highlight w:val="none"/>
              </w:rPr>
              <w:t xml:space="preserve">  </w:t>
            </w:r>
            <w:r>
              <w:rPr>
                <w:rFonts w:hint="eastAsia" w:ascii="宋体" w:cs="宋体"/>
                <w:highlight w:val="none"/>
              </w:rPr>
              <w:t>目</w:t>
            </w:r>
          </w:p>
        </w:tc>
        <w:tc>
          <w:tcPr>
            <w:tcW w:w="2126"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4536"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2126"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2126"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一、一般公共预算拨款收入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914.13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一、一般公共服务支出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二、政府性基金预算拨款收入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二、外交支出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三、国有资本经营预算拨款收入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三、国防支出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四、财政专户管理资金收入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四、公共安全支出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五、事业收入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五、教育支出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六、事业单位经营收入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六、科学技术支出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七、上级补助收入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七、文化旅游体育与传媒支出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八、附属单位上缴收入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八、社会保障和就业支出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九、其他收入</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九、社会保险基金支出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10</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十、卫生健康支出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十一、节能环保支出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十二、城乡社区支出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十三、农林水支出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14</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十四、交通运输支出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十五、资源勘探工业信息等支出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16</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十六、商业服务业等支出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17</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十七、金融支出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18</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十八、援助其他地区支出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十九、自然资源海洋气象等支出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20</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二十、住房保障支出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二十一、粮油物资储备支出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二十二、国有资本经营预算支出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二十三、灾害防治及应急管理支出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24</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二十四、预备费</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二十五、其他支出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26</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二十六、转移性支出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27</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二十七、债务还本支出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二十八、债务付息支出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二十九、债务发行费用支出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30</w:t>
            </w:r>
          </w:p>
        </w:tc>
        <w:tc>
          <w:tcPr>
            <w:tcW w:w="4536" w:type="dxa"/>
            <w:tcBorders>
              <w:top w:val="single" w:color="000000" w:sz="6" w:space="0"/>
              <w:left w:val="single" w:color="000000" w:sz="6" w:space="0"/>
              <w:right w:val="single" w:color="000000" w:sz="6" w:space="0"/>
            </w:tcBorders>
            <w:vAlign w:val="center"/>
          </w:tcPr>
          <w:p>
            <w:pPr>
              <w:pStyle w:val="18"/>
              <w:rPr>
                <w:highlight w:val="none"/>
              </w:rPr>
            </w:pP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三十、抗疫特别国债安排的支出</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31</w:t>
            </w:r>
          </w:p>
        </w:tc>
        <w:tc>
          <w:tcPr>
            <w:tcW w:w="4536"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本年收入合计</w:t>
            </w:r>
          </w:p>
        </w:tc>
        <w:tc>
          <w:tcPr>
            <w:tcW w:w="2126"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4535"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本年支出合计</w:t>
            </w:r>
          </w:p>
        </w:tc>
        <w:tc>
          <w:tcPr>
            <w:tcW w:w="2126"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上年结转结余</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年终结转结余</w:t>
            </w:r>
          </w:p>
        </w:tc>
        <w:tc>
          <w:tcPr>
            <w:tcW w:w="2126"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33</w:t>
            </w:r>
          </w:p>
        </w:tc>
        <w:tc>
          <w:tcPr>
            <w:tcW w:w="4536"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收入总计</w:t>
            </w:r>
          </w:p>
        </w:tc>
        <w:tc>
          <w:tcPr>
            <w:tcW w:w="2126"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4535"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支出总计</w:t>
            </w:r>
          </w:p>
        </w:tc>
        <w:tc>
          <w:tcPr>
            <w:tcW w:w="2126"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pPr>
        <w:jc w:val="center"/>
        <w:outlineLvl w:val="1"/>
        <w:rPr>
          <w:highlight w:val="none"/>
        </w:rPr>
      </w:pPr>
      <w:bookmarkStart w:id="1" w:name="_Toc30902867"/>
      <w:r>
        <w:rPr>
          <w:rFonts w:hint="eastAsia" w:ascii="方正小标宋_GBK" w:eastAsia="方正小标宋_GBK" w:cs="方正小标宋_GBK"/>
          <w:color w:val="000000"/>
          <w:sz w:val="36"/>
          <w:highlight w:val="none"/>
        </w:rPr>
        <w:t>部门预算收入总表</w:t>
      </w:r>
      <w:bookmarkEnd w:id="1"/>
    </w:p>
    <w:tbl>
      <w:tblPr>
        <w:tblStyle w:val="11"/>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3402" w:type="dxa"/>
            <w:gridSpan w:val="3"/>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670" w:type="dxa"/>
            <w:gridSpan w:val="5"/>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2551"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功能分类科目</w:t>
            </w:r>
          </w:p>
        </w:tc>
        <w:tc>
          <w:tcPr>
            <w:tcW w:w="1134"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9072" w:type="dxa"/>
            <w:gridSpan w:val="8"/>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本年收入</w:t>
            </w:r>
          </w:p>
        </w:tc>
        <w:tc>
          <w:tcPr>
            <w:tcW w:w="1134"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right w:val="single" w:color="000000" w:sz="6" w:space="0"/>
            </w:tcBorders>
          </w:tcPr>
          <w:p/>
        </w:tc>
        <w:tc>
          <w:tcPr>
            <w:tcW w:w="992"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w:t>
            </w:r>
            <w:r>
              <w:rPr>
                <w:highlight w:val="none"/>
              </w:rPr>
              <w:t xml:space="preserve">    </w:t>
            </w:r>
            <w:r>
              <w:rPr>
                <w:rFonts w:hint="eastAsia" w:ascii="宋体" w:cs="宋体"/>
                <w:highlight w:val="none"/>
              </w:rPr>
              <w:t>编码</w:t>
            </w:r>
          </w:p>
        </w:tc>
        <w:tc>
          <w:tcPr>
            <w:tcW w:w="1559"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科目名称</w:t>
            </w:r>
          </w:p>
        </w:tc>
        <w:tc>
          <w:tcPr>
            <w:tcW w:w="1134" w:type="dxa"/>
            <w:vMerge w:val="continue"/>
            <w:tcBorders>
              <w:top w:val="single" w:color="000000" w:sz="6" w:space="0"/>
              <w:left w:val="single" w:color="000000" w:sz="6" w:space="0"/>
              <w:right w:val="single" w:color="000000" w:sz="6" w:space="0"/>
            </w:tcBorders>
          </w:tcP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小计</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财政拨款</w:t>
            </w:r>
            <w:r>
              <w:rPr>
                <w:highlight w:val="none"/>
              </w:rPr>
              <w:t xml:space="preserve"> </w:t>
            </w:r>
            <w:r>
              <w:rPr>
                <w:rFonts w:hint="eastAsia" w:ascii="宋体" w:cs="宋体"/>
                <w:highlight w:val="none"/>
              </w:rPr>
              <w:t>收入</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财政专户</w:t>
            </w:r>
            <w:r>
              <w:rPr>
                <w:highlight w:val="none"/>
              </w:rPr>
              <w:t xml:space="preserve"> </w:t>
            </w:r>
            <w:r>
              <w:rPr>
                <w:rFonts w:hint="eastAsia" w:ascii="宋体" w:cs="宋体"/>
                <w:highlight w:val="none"/>
              </w:rPr>
              <w:t>收入</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事业收入</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经营收入</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上级补助收入</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附属单位上缴收入</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其他收入</w:t>
            </w:r>
          </w:p>
        </w:tc>
        <w:tc>
          <w:tcPr>
            <w:tcW w:w="1134"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992"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1559"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6</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7</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8</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9</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10</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11</w:t>
            </w:r>
          </w:p>
        </w:tc>
        <w:tc>
          <w:tcPr>
            <w:tcW w:w="113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992" w:type="dxa"/>
            <w:tcBorders>
              <w:top w:val="single" w:color="000000" w:sz="6" w:space="0"/>
              <w:left w:val="single" w:color="000000" w:sz="6" w:space="0"/>
              <w:right w:val="single" w:color="000000" w:sz="6" w:space="0"/>
            </w:tcBorders>
            <w:vAlign w:val="center"/>
          </w:tcPr>
          <w:p>
            <w:pPr>
              <w:pStyle w:val="22"/>
              <w:rPr>
                <w:highlight w:val="none"/>
              </w:rPr>
            </w:pPr>
          </w:p>
        </w:tc>
        <w:tc>
          <w:tcPr>
            <w:tcW w:w="1559"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合计</w:t>
            </w:r>
          </w:p>
        </w:tc>
        <w:tc>
          <w:tcPr>
            <w:tcW w:w="113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13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13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c>
          <w:tcPr>
            <w:tcW w:w="1134" w:type="dxa"/>
            <w:tcBorders>
              <w:top w:val="single" w:color="000000" w:sz="6" w:space="0"/>
              <w:left w:val="single" w:color="000000" w:sz="6" w:space="0"/>
              <w:right w:val="single" w:color="000000" w:sz="6" w:space="0"/>
            </w:tcBorders>
            <w:vAlign w:val="center"/>
          </w:tcPr>
          <w:p>
            <w:pPr>
              <w:pStyle w:val="2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一般公共服务支出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政府办公厅（室）及相关机构事务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424.44</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424.44</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424.44</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2010308</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信访事务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2010350</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事业运行</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122.92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122.92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122.92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2010399</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其他政府办公厅（室）及相关机构事务支出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20106</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财政事务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2010650</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事业运行</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纪检监察事务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12.67</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12.67</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12.67</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一般行政管理事务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20123</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民族事务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2012302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一般行政管理事务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20129</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群众团体事务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2012999</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其他群众团体事务支出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党委办公厅（室）及相关机构事务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46.12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46.12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46.12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2013105</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专项业务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科学技术支出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20607</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科学技术普及</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2060702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科普活动</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社会保障和就业支出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民政管理事务</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2080299</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其他民政管理事务支出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行政事业单位养老支出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行政单位离退休</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事业单位离退休</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2080505</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机关事业单位基本养老保险缴费支出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2080506</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机关事业单位职业年金缴费支出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卫生健康支出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行政事业单位医疗</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行政单位医疗</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事业单位医疗</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节能环保支出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21103</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污染防治</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2110301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大气</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农林水支出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农业农村</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2130119</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防灾救灾</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21307</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农村综合改革</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2130705</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对村民委员会和村党支部的补助</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住房保障支出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22102</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住房改革支出</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2210201</w:t>
            </w:r>
          </w:p>
        </w:tc>
        <w:tc>
          <w:tcPr>
            <w:tcW w:w="155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住房公积金</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docGrid w:linePitch="326" w:charSpace="0"/>
        </w:sectPr>
      </w:pPr>
    </w:p>
    <w:p>
      <w:pPr>
        <w:jc w:val="center"/>
        <w:outlineLvl w:val="1"/>
        <w:rPr>
          <w:highlight w:val="none"/>
        </w:rPr>
      </w:pPr>
      <w:bookmarkStart w:id="2" w:name="_Toc30902868"/>
      <w:r>
        <w:rPr>
          <w:rFonts w:hint="eastAsia" w:ascii="方正小标宋_GBK" w:eastAsia="方正小标宋_GBK" w:cs="方正小标宋_GBK"/>
          <w:color w:val="000000"/>
          <w:sz w:val="36"/>
          <w:highlight w:val="none"/>
        </w:rPr>
        <w:t>部门预算支出总表</w:t>
      </w:r>
      <w:bookmarkEnd w:id="2"/>
    </w:p>
    <w:tbl>
      <w:tblPr>
        <w:tblStyle w:val="11"/>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722" w:type="dxa"/>
            <w:gridSpan w:val="2"/>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444" w:type="dxa"/>
            <w:gridSpan w:val="4"/>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5528"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功能分类科目</w:t>
            </w:r>
          </w:p>
        </w:tc>
        <w:tc>
          <w:tcPr>
            <w:tcW w:w="136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136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基本支出</w:t>
            </w:r>
          </w:p>
        </w:tc>
        <w:tc>
          <w:tcPr>
            <w:tcW w:w="136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项目支出</w:t>
            </w:r>
          </w:p>
        </w:tc>
        <w:tc>
          <w:tcPr>
            <w:tcW w:w="136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经营支出</w:t>
            </w:r>
          </w:p>
        </w:tc>
        <w:tc>
          <w:tcPr>
            <w:tcW w:w="136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上解上级</w:t>
            </w:r>
            <w:r>
              <w:rPr>
                <w:highlight w:val="none"/>
              </w:rPr>
              <w:t xml:space="preserve">     </w:t>
            </w:r>
            <w:r>
              <w:rPr>
                <w:rFonts w:hint="eastAsia" w:ascii="宋体" w:cs="宋体"/>
                <w:highlight w:val="none"/>
              </w:rPr>
              <w:t>支出</w:t>
            </w:r>
          </w:p>
        </w:tc>
        <w:tc>
          <w:tcPr>
            <w:tcW w:w="136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992"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w:t>
            </w:r>
            <w:r>
              <w:rPr>
                <w:highlight w:val="none"/>
              </w:rPr>
              <w:t xml:space="preserve">    </w:t>
            </w:r>
            <w:r>
              <w:rPr>
                <w:rFonts w:hint="eastAsia" w:ascii="宋体" w:cs="宋体"/>
                <w:highlight w:val="none"/>
              </w:rPr>
              <w:t>编码</w:t>
            </w:r>
          </w:p>
        </w:tc>
        <w:tc>
          <w:tcPr>
            <w:tcW w:w="4536"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科目名称</w:t>
            </w:r>
          </w:p>
        </w:tc>
        <w:tc>
          <w:tcPr>
            <w:tcW w:w="1361" w:type="dxa"/>
            <w:vMerge w:val="continue"/>
            <w:tcBorders>
              <w:top w:val="single" w:color="000000" w:sz="6" w:space="0"/>
              <w:left w:val="single" w:color="000000" w:sz="6" w:space="0"/>
              <w:right w:val="single" w:color="000000" w:sz="6" w:space="0"/>
            </w:tcBorders>
          </w:tcPr>
          <w:p/>
        </w:tc>
        <w:tc>
          <w:tcPr>
            <w:tcW w:w="1361" w:type="dxa"/>
            <w:vMerge w:val="continue"/>
            <w:tcBorders>
              <w:top w:val="single" w:color="000000" w:sz="6" w:space="0"/>
              <w:left w:val="single" w:color="000000" w:sz="6" w:space="0"/>
              <w:right w:val="single" w:color="000000" w:sz="6" w:space="0"/>
            </w:tcBorders>
          </w:tcPr>
          <w:p/>
        </w:tc>
        <w:tc>
          <w:tcPr>
            <w:tcW w:w="1361" w:type="dxa"/>
            <w:vMerge w:val="continue"/>
            <w:tcBorders>
              <w:top w:val="single" w:color="000000" w:sz="6" w:space="0"/>
              <w:left w:val="single" w:color="000000" w:sz="6" w:space="0"/>
              <w:right w:val="single" w:color="000000" w:sz="6" w:space="0"/>
            </w:tcBorders>
          </w:tcPr>
          <w:p/>
        </w:tc>
        <w:tc>
          <w:tcPr>
            <w:tcW w:w="1361" w:type="dxa"/>
            <w:vMerge w:val="continue"/>
            <w:tcBorders>
              <w:top w:val="single" w:color="000000" w:sz="6" w:space="0"/>
              <w:left w:val="single" w:color="000000" w:sz="6" w:space="0"/>
              <w:right w:val="single" w:color="000000" w:sz="6" w:space="0"/>
            </w:tcBorders>
          </w:tcPr>
          <w:p/>
        </w:tc>
        <w:tc>
          <w:tcPr>
            <w:tcW w:w="1361" w:type="dxa"/>
            <w:vMerge w:val="continue"/>
            <w:tcBorders>
              <w:top w:val="single" w:color="000000" w:sz="6" w:space="0"/>
              <w:left w:val="single" w:color="000000" w:sz="6" w:space="0"/>
              <w:right w:val="single" w:color="000000" w:sz="6" w:space="0"/>
            </w:tcBorders>
          </w:tcPr>
          <w:p/>
        </w:tc>
        <w:tc>
          <w:tcPr>
            <w:tcW w:w="1361"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992"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4536"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136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136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136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c>
          <w:tcPr>
            <w:tcW w:w="136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6</w:t>
            </w:r>
          </w:p>
        </w:tc>
        <w:tc>
          <w:tcPr>
            <w:tcW w:w="136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7</w:t>
            </w:r>
          </w:p>
        </w:tc>
        <w:tc>
          <w:tcPr>
            <w:tcW w:w="136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992" w:type="dxa"/>
            <w:tcBorders>
              <w:top w:val="single" w:color="000000" w:sz="6" w:space="0"/>
              <w:left w:val="single" w:color="000000" w:sz="6" w:space="0"/>
              <w:right w:val="single" w:color="000000" w:sz="6" w:space="0"/>
            </w:tcBorders>
            <w:vAlign w:val="center"/>
          </w:tcPr>
          <w:p>
            <w:pPr>
              <w:pStyle w:val="22"/>
              <w:rPr>
                <w:highlight w:val="none"/>
              </w:rPr>
            </w:pPr>
          </w:p>
        </w:tc>
        <w:tc>
          <w:tcPr>
            <w:tcW w:w="4536"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合计</w:t>
            </w:r>
          </w:p>
        </w:tc>
        <w:tc>
          <w:tcPr>
            <w:tcW w:w="136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36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733.21</w:t>
            </w:r>
          </w:p>
        </w:tc>
        <w:tc>
          <w:tcPr>
            <w:tcW w:w="136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180.92</w:t>
            </w:r>
          </w:p>
        </w:tc>
        <w:tc>
          <w:tcPr>
            <w:tcW w:w="1361" w:type="dxa"/>
            <w:tcBorders>
              <w:top w:val="single" w:color="000000" w:sz="6" w:space="0"/>
              <w:left w:val="single" w:color="000000" w:sz="6" w:space="0"/>
              <w:right w:val="single" w:color="000000" w:sz="6" w:space="0"/>
            </w:tcBorders>
            <w:vAlign w:val="center"/>
          </w:tcPr>
          <w:p>
            <w:pPr>
              <w:pStyle w:val="21"/>
              <w:rPr>
                <w:highlight w:val="none"/>
              </w:rPr>
            </w:pPr>
          </w:p>
        </w:tc>
        <w:tc>
          <w:tcPr>
            <w:tcW w:w="1361" w:type="dxa"/>
            <w:tcBorders>
              <w:top w:val="single" w:color="000000" w:sz="6" w:space="0"/>
              <w:left w:val="single" w:color="000000" w:sz="6" w:space="0"/>
              <w:right w:val="single" w:color="000000" w:sz="6" w:space="0"/>
            </w:tcBorders>
            <w:vAlign w:val="center"/>
          </w:tcPr>
          <w:p>
            <w:pPr>
              <w:pStyle w:val="21"/>
              <w:rPr>
                <w:highlight w:val="none"/>
              </w:rPr>
            </w:pPr>
          </w:p>
        </w:tc>
        <w:tc>
          <w:tcPr>
            <w:tcW w:w="1361" w:type="dxa"/>
            <w:tcBorders>
              <w:top w:val="single" w:color="000000" w:sz="6" w:space="0"/>
              <w:left w:val="single" w:color="000000" w:sz="6" w:space="0"/>
              <w:right w:val="single" w:color="000000" w:sz="6" w:space="0"/>
            </w:tcBorders>
            <w:vAlign w:val="center"/>
          </w:tcPr>
          <w:p>
            <w:pPr>
              <w:pStyle w:val="2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一般公共服务支出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573.81</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72.92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政府办公厅（室）及相关机构事务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424.44</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387.44</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37.00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2010308</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信访事务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2010350</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事业运行</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122.92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92.92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2010399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其他政府办公厅（室）及相关机构事务支出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20106</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财政事务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2010650</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事业运行</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纪检监察事务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12.67</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一般行政管理事务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民族事务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2012302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一般行政管理事务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群众团体事务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2012999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其他群众团体事务支出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党委办公厅（室）及相关机构事务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46.12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2013105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专项业务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科学技术支出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20607</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科学技术普及</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2060702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科普活动</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社会保障和就业支出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民政管理事务</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2080299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其他民政管理事务支出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行政事业单位养老支出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行政单位离退休</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事业单位离退休</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机关事业单位基本养老保险缴费支出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2080506</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机关事业单位职业年金缴费支出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卫生健康支出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行政事业单位医疗</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行政单位医疗</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事业单位医疗</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节能环保支出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36</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21103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污染防治</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37</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2110301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大气</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38</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农林水支出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39</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农业农村</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40</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2130119</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防灾救灾</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41</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21307</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农村综合改革</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42</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2130705</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对村民委员会和村党支部的补助</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43</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住房保障支出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44</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22102</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住房改革支出</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45</w:t>
            </w:r>
          </w:p>
        </w:tc>
        <w:tc>
          <w:tcPr>
            <w:tcW w:w="992"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2210201</w:t>
            </w:r>
          </w:p>
        </w:tc>
        <w:tc>
          <w:tcPr>
            <w:tcW w:w="4536"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住房公积金</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c>
          <w:tcPr>
            <w:tcW w:w="1361" w:type="dxa"/>
            <w:tcBorders>
              <w:top w:val="single" w:color="000000" w:sz="6" w:space="0"/>
              <w:left w:val="single" w:color="000000" w:sz="6" w:space="0"/>
              <w:right w:val="single" w:color="000000" w:sz="6" w:space="0"/>
            </w:tcBorders>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docGrid w:linePitch="326" w:charSpace="0"/>
        </w:sectPr>
      </w:pPr>
    </w:p>
    <w:p>
      <w:pPr>
        <w:jc w:val="center"/>
        <w:outlineLvl w:val="1"/>
        <w:rPr>
          <w:highlight w:val="none"/>
        </w:rPr>
      </w:pPr>
      <w:bookmarkStart w:id="3" w:name="_Toc30902869"/>
      <w:r>
        <w:rPr>
          <w:rFonts w:hint="eastAsia" w:ascii="方正小标宋_GBK" w:eastAsia="方正小标宋_GBK" w:cs="方正小标宋_GBK"/>
          <w:color w:val="000000"/>
          <w:sz w:val="36"/>
          <w:highlight w:val="none"/>
        </w:rPr>
        <w:t>部门预算财政拨款收支总表</w:t>
      </w:r>
      <w:bookmarkEnd w:id="3"/>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3402"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896" w:type="dxa"/>
            <w:gridSpan w:val="4"/>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4876"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收入</w:t>
            </w:r>
          </w:p>
        </w:tc>
        <w:tc>
          <w:tcPr>
            <w:tcW w:w="9298" w:type="dxa"/>
            <w:gridSpan w:val="5"/>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3402"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w:t>
            </w:r>
            <w:r>
              <w:rPr>
                <w:highlight w:val="none"/>
              </w:rPr>
              <w:t xml:space="preserve">  </w:t>
            </w:r>
            <w:r>
              <w:rPr>
                <w:rFonts w:hint="eastAsia" w:ascii="宋体" w:cs="宋体"/>
                <w:highlight w:val="none"/>
              </w:rPr>
              <w:t>目</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金额</w:t>
            </w:r>
          </w:p>
        </w:tc>
        <w:tc>
          <w:tcPr>
            <w:tcW w:w="3402"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w:t>
            </w:r>
            <w:r>
              <w:rPr>
                <w:highlight w:val="none"/>
              </w:rPr>
              <w:t xml:space="preserve">  </w:t>
            </w:r>
            <w:r>
              <w:rPr>
                <w:rFonts w:hint="eastAsia" w:ascii="宋体" w:cs="宋体"/>
                <w:highlight w:val="none"/>
              </w:rPr>
              <w:t>目</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一般公共预算财政拨款</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政府性基金预算财政</w:t>
            </w:r>
            <w:r>
              <w:rPr>
                <w:highlight w:val="none"/>
              </w:rPr>
              <w:t xml:space="preserve">    </w:t>
            </w:r>
            <w:r>
              <w:rPr>
                <w:rFonts w:hint="eastAsia" w:ascii="宋体" w:cs="宋体"/>
                <w:highlight w:val="none"/>
              </w:rPr>
              <w:t>拨款</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3402"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3402"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6</w:t>
            </w:r>
          </w:p>
        </w:tc>
        <w:tc>
          <w:tcPr>
            <w:tcW w:w="1474" w:type="dxa"/>
            <w:tcBorders>
              <w:top w:val="single" w:color="000000" w:sz="6" w:space="0"/>
              <w:left w:val="single" w:color="000000" w:sz="6" w:space="0"/>
              <w:right w:val="single" w:color="000000" w:sz="6" w:space="0"/>
            </w:tcBorders>
            <w:vAlign w:val="center"/>
          </w:tcPr>
          <w:p>
            <w:pPr>
              <w:pStyle w:val="16"/>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一、一般公共预算拨款</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914.13</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一、一般公共服务支出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二、政府性基金预算拨款</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二、外交支出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三、国有资本经营预算拨款</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三、国防支出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四、公共安全支出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五、教育支出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六、科学技术支出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七、文化旅游体育与传媒支出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八、社会保障和就业支出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九、社会保险基金支出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10</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十、卫生健康支出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11</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十一、节能环保支出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12</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十二、城乡社区支出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13</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十三、农林水支出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14</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十四、交通运输支出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15</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十五、资源勘探工业信息等支出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16</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十六、商业服务业等支出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17</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十七、金融支出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18</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十八、援助其他地区支出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19</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十九、自然资源海洋气象等支出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20</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二十、住房保障支出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21</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二十一、粮油物资储备支出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22</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二十二、国有资本经营预算支出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23</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二十三、灾害防治及应急管理支出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24</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二十四、预备费</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25</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二十五、其他支出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26</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二十六、转移性支出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27</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二十七、债务还本支出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二十八、债务付息支出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29</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二十九、债务发行费用支出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30</w:t>
            </w: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三十、抗疫特别国债安排的支出</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31</w:t>
            </w:r>
          </w:p>
        </w:tc>
        <w:tc>
          <w:tcPr>
            <w:tcW w:w="3402"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本年收入合计</w:t>
            </w:r>
          </w:p>
        </w:tc>
        <w:tc>
          <w:tcPr>
            <w:tcW w:w="147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3402"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本年支出合计</w:t>
            </w:r>
          </w:p>
        </w:tc>
        <w:tc>
          <w:tcPr>
            <w:tcW w:w="147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47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474" w:type="dxa"/>
            <w:tcBorders>
              <w:top w:val="single" w:color="000000" w:sz="6" w:space="0"/>
              <w:left w:val="single" w:color="000000" w:sz="6" w:space="0"/>
              <w:right w:val="single" w:color="000000" w:sz="6" w:space="0"/>
            </w:tcBorders>
            <w:vAlign w:val="center"/>
          </w:tcPr>
          <w:p>
            <w:pPr>
              <w:pStyle w:val="21"/>
              <w:rPr>
                <w:highlight w:val="none"/>
              </w:rPr>
            </w:pPr>
          </w:p>
        </w:tc>
        <w:tc>
          <w:tcPr>
            <w:tcW w:w="1474" w:type="dxa"/>
            <w:tcBorders>
              <w:top w:val="single" w:color="000000" w:sz="6" w:space="0"/>
              <w:left w:val="single" w:color="000000" w:sz="6" w:space="0"/>
              <w:right w:val="single" w:color="000000" w:sz="6" w:space="0"/>
            </w:tcBorders>
            <w:vAlign w:val="center"/>
          </w:tcPr>
          <w:p>
            <w:pPr>
              <w:pStyle w:val="2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32</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年初财政拨款结转和结余</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年末财政拨款结转和结余</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33</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一、一般公共预算拨款</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34</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二、政府性基金预算拨款</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35</w:t>
            </w:r>
          </w:p>
        </w:tc>
        <w:tc>
          <w:tcPr>
            <w:tcW w:w="3402"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三、国有资本经营预算拨款</w:t>
            </w: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3402" w:type="dxa"/>
            <w:tcBorders>
              <w:top w:val="single" w:color="000000" w:sz="6" w:space="0"/>
              <w:left w:val="single" w:color="000000" w:sz="6" w:space="0"/>
              <w:right w:val="single" w:color="000000" w:sz="6" w:space="0"/>
            </w:tcBorders>
            <w:vAlign w:val="center"/>
          </w:tcPr>
          <w:p>
            <w:pPr>
              <w:pStyle w:val="18"/>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c>
          <w:tcPr>
            <w:tcW w:w="1474"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36</w:t>
            </w:r>
          </w:p>
        </w:tc>
        <w:tc>
          <w:tcPr>
            <w:tcW w:w="3402"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收入总计</w:t>
            </w:r>
          </w:p>
        </w:tc>
        <w:tc>
          <w:tcPr>
            <w:tcW w:w="147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3402"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支出总计</w:t>
            </w:r>
          </w:p>
        </w:tc>
        <w:tc>
          <w:tcPr>
            <w:tcW w:w="147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474"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1474" w:type="dxa"/>
            <w:tcBorders>
              <w:top w:val="single" w:color="000000" w:sz="6" w:space="0"/>
              <w:left w:val="single" w:color="000000" w:sz="6" w:space="0"/>
              <w:right w:val="single" w:color="000000" w:sz="6" w:space="0"/>
            </w:tcBorders>
            <w:vAlign w:val="center"/>
          </w:tcPr>
          <w:p>
            <w:pPr>
              <w:pStyle w:val="21"/>
              <w:rPr>
                <w:highlight w:val="none"/>
              </w:rPr>
            </w:pPr>
          </w:p>
        </w:tc>
        <w:tc>
          <w:tcPr>
            <w:tcW w:w="1474" w:type="dxa"/>
            <w:tcBorders>
              <w:top w:val="single" w:color="000000" w:sz="6" w:space="0"/>
              <w:left w:val="single" w:color="000000" w:sz="6" w:space="0"/>
              <w:right w:val="single" w:color="000000" w:sz="6" w:space="0"/>
            </w:tcBorders>
            <w:vAlign w:val="center"/>
          </w:tcPr>
          <w:p>
            <w:pPr>
              <w:pStyle w:val="21"/>
              <w:rPr>
                <w:highlight w:val="none"/>
              </w:rPr>
            </w:pPr>
          </w:p>
        </w:tc>
      </w:tr>
    </w:tbl>
    <w:p>
      <w:pPr>
        <w:rPr>
          <w:highlight w:val="none"/>
        </w:rPr>
        <w:sectPr>
          <w:pgSz w:w="16840" w:h="11900" w:orient="landscape"/>
          <w:pgMar w:top="1361" w:right="1020" w:bottom="1134" w:left="1020" w:header="720" w:footer="720" w:gutter="0"/>
          <w:cols w:space="720" w:num="1"/>
          <w:docGrid w:linePitch="326" w:charSpace="0"/>
        </w:sectPr>
      </w:pPr>
    </w:p>
    <w:p>
      <w:pPr>
        <w:jc w:val="center"/>
        <w:outlineLvl w:val="1"/>
        <w:rPr>
          <w:highlight w:val="none"/>
        </w:rPr>
      </w:pPr>
      <w:bookmarkStart w:id="4" w:name="_Toc30902870"/>
      <w:r>
        <w:rPr>
          <w:rFonts w:hint="eastAsia" w:ascii="方正小标宋_GBK" w:eastAsia="方正小标宋_GBK" w:cs="方正小标宋_GBK"/>
          <w:color w:val="000000"/>
          <w:sz w:val="36"/>
          <w:highlight w:val="none"/>
        </w:rPr>
        <w:t>部门预算一般公共预算财政拨款支出表</w:t>
      </w:r>
      <w:bookmarkEnd w:id="4"/>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551"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102"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5726"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功能分类科目</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基本支出</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科目编码</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科目名称</w:t>
            </w:r>
          </w:p>
        </w:tc>
        <w:tc>
          <w:tcPr>
            <w:tcW w:w="2551" w:type="dxa"/>
            <w:vMerge w:val="continue"/>
            <w:tcBorders>
              <w:top w:val="single" w:color="000000" w:sz="6" w:space="0"/>
              <w:left w:val="single" w:color="000000" w:sz="6" w:space="0"/>
              <w:right w:val="single" w:color="000000" w:sz="6" w:space="0"/>
            </w:tcBorders>
          </w:tcPr>
          <w:p/>
        </w:tc>
        <w:tc>
          <w:tcPr>
            <w:tcW w:w="2551" w:type="dxa"/>
            <w:vMerge w:val="continue"/>
            <w:tcBorders>
              <w:top w:val="single" w:color="000000" w:sz="6" w:space="0"/>
              <w:left w:val="single" w:color="000000" w:sz="6" w:space="0"/>
              <w:right w:val="single" w:color="000000" w:sz="6" w:space="0"/>
            </w:tcBorders>
          </w:tcPr>
          <w:p/>
        </w:tc>
        <w:tc>
          <w:tcPr>
            <w:tcW w:w="2551"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1191" w:type="dxa"/>
            <w:tcBorders>
              <w:top w:val="single" w:color="000000" w:sz="6" w:space="0"/>
              <w:left w:val="single" w:color="000000" w:sz="6" w:space="0"/>
              <w:right w:val="single" w:color="000000" w:sz="6" w:space="0"/>
            </w:tcBorders>
            <w:vAlign w:val="center"/>
          </w:tcPr>
          <w:p>
            <w:pPr>
              <w:pStyle w:val="22"/>
              <w:rPr>
                <w:highlight w:val="none"/>
              </w:rPr>
            </w:pPr>
          </w:p>
        </w:tc>
        <w:tc>
          <w:tcPr>
            <w:tcW w:w="4535"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合计</w:t>
            </w:r>
          </w:p>
        </w:tc>
        <w:tc>
          <w:tcPr>
            <w:tcW w:w="255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914.13</w:t>
            </w:r>
          </w:p>
        </w:tc>
        <w:tc>
          <w:tcPr>
            <w:tcW w:w="255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733.21</w:t>
            </w:r>
          </w:p>
        </w:tc>
        <w:tc>
          <w:tcPr>
            <w:tcW w:w="255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180.92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一般公共服务支出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646.73</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573.81</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72.92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政府办公厅（室）及相关机构事务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424.44</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387.44</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294.52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2010308</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信访事务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2010350</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事业运行</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122.92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92.92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2010399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其他政府办公厅（室）及相关机构事务支出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20106</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财政事务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2010650</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事业运行</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133.58</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10</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纪检监察事务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12.67</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11</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8.67</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2011102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一般行政管理事务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民族事务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2012302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一般行政管理事务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群众团体事务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2012999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其他群众团体事务支出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党委办公厅（室）及相关机构事务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46.12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行政运行</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44.12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19</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2013105</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专项业务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20</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科学技术支出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21</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20607</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科学技术普及</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2060702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科普活动</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社会保障和就业支出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民政管理事务</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2080299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其他民政管理事务支出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行政事业单位养老支出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行政单位离退休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事业单位离退休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16.30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29</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2080505</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机关事业单位基本养老保险缴费支出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30</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2080506</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机关事业单位职业年金缴费支出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31</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卫生健康支出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行政事业单位医疗</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行政单位医疗</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2101102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事业单位医疗</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节能环保支出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21103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污染防治</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2110301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大气</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农林水支出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39</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农业农村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40</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2130119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防灾救灾</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41</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21307</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农村综合改革</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2130705</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对村民委员会和村党支部的补助</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住房保障支出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住房改革支出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2210201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住房公积金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docGrid w:linePitch="326" w:charSpace="0"/>
        </w:sectPr>
      </w:pPr>
    </w:p>
    <w:p>
      <w:pPr>
        <w:jc w:val="center"/>
        <w:outlineLvl w:val="1"/>
        <w:rPr>
          <w:highlight w:val="none"/>
        </w:rPr>
      </w:pPr>
      <w:bookmarkStart w:id="5" w:name="_Toc30902871"/>
      <w:r>
        <w:rPr>
          <w:rFonts w:hint="eastAsia" w:ascii="方正小标宋_GBK" w:eastAsia="方正小标宋_GBK" w:cs="方正小标宋_GBK"/>
          <w:color w:val="000000"/>
          <w:sz w:val="36"/>
          <w:highlight w:val="none"/>
        </w:rPr>
        <w:t>部门预算一般公共预算财政拨款基本支出表</w:t>
      </w:r>
      <w:bookmarkEnd w:id="5"/>
    </w:p>
    <w:tbl>
      <w:tblPr>
        <w:tblStyle w:val="11"/>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551"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103"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5726"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支出部门经济分类科目</w:t>
            </w:r>
          </w:p>
        </w:tc>
        <w:tc>
          <w:tcPr>
            <w:tcW w:w="7654" w:type="dxa"/>
            <w:gridSpan w:val="3"/>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科目编码</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科目名称</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人员经费</w:t>
            </w:r>
          </w:p>
        </w:tc>
        <w:tc>
          <w:tcPr>
            <w:tcW w:w="2552"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2552"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1191" w:type="dxa"/>
            <w:tcBorders>
              <w:top w:val="single" w:color="000000" w:sz="6" w:space="0"/>
              <w:left w:val="single" w:color="000000" w:sz="6" w:space="0"/>
              <w:right w:val="single" w:color="000000" w:sz="6" w:space="0"/>
            </w:tcBorders>
            <w:vAlign w:val="center"/>
          </w:tcPr>
          <w:p>
            <w:pPr>
              <w:pStyle w:val="22"/>
              <w:rPr>
                <w:highlight w:val="none"/>
              </w:rPr>
            </w:pPr>
          </w:p>
        </w:tc>
        <w:tc>
          <w:tcPr>
            <w:tcW w:w="4535"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合计</w:t>
            </w:r>
          </w:p>
        </w:tc>
        <w:tc>
          <w:tcPr>
            <w:tcW w:w="255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733.21</w:t>
            </w:r>
          </w:p>
        </w:tc>
        <w:tc>
          <w:tcPr>
            <w:tcW w:w="255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648.07</w:t>
            </w:r>
          </w:p>
        </w:tc>
        <w:tc>
          <w:tcPr>
            <w:tcW w:w="2552" w:type="dxa"/>
            <w:tcBorders>
              <w:top w:val="single" w:color="000000" w:sz="6" w:space="0"/>
              <w:left w:val="single" w:color="000000" w:sz="6" w:space="0"/>
              <w:right w:val="single" w:color="000000" w:sz="6" w:space="0"/>
            </w:tcBorders>
            <w:vAlign w:val="center"/>
          </w:tcPr>
          <w:p>
            <w:pPr>
              <w:pStyle w:val="21"/>
              <w:rPr>
                <w:highlight w:val="none"/>
              </w:rPr>
            </w:pPr>
            <w:r>
              <w:rPr>
                <w:highlight w:val="none"/>
              </w:rPr>
              <w:t>85.14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工资福利支出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605.86</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605.86</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基本工资</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185.10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185.10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津贴补贴</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98.33</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98.33</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30103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奖金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102.70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102.70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30107</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绩效工资</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30.50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30.50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30108</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机关事业单位基本养老保险缴费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53.70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30109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职业年金缴费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30110</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城镇职工基本医疗保险缴费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25.10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10</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30112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其他社会保障缴费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7.43</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7.43</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11</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30113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住房公积金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38.90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30199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其他工资福利支出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56.10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56.10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商品和服务支出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85.14</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30201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办公费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28.52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30206</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电费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30213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维修</w:t>
            </w:r>
            <w:r>
              <w:rPr>
                <w:highlight w:val="none"/>
              </w:rPr>
              <w:t>(</w:t>
            </w:r>
            <w:r>
              <w:rPr>
                <w:rFonts w:hint="eastAsia" w:ascii="宋体" w:cs="宋体"/>
                <w:highlight w:val="none"/>
              </w:rPr>
              <w:t>护</w:t>
            </w:r>
            <w:r>
              <w:rPr>
                <w:highlight w:val="none"/>
              </w:rPr>
              <w:t>)</w:t>
            </w:r>
            <w:r>
              <w:rPr>
                <w:rFonts w:hint="eastAsia" w:ascii="宋体" w:cs="宋体"/>
                <w:highlight w:val="none"/>
              </w:rPr>
              <w:t>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30216</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培训费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0.50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30226</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劳务费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3.60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19</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30228</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工会经费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3.15</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20</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30229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福利费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3.35</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21</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30231</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公务用车运行维护费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22</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30239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其他交通费用</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28.02</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23</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30299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其他商品和服务支出</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24</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303</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对个人和家庭的补助</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42.21</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42.21</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25</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30302</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退休费</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33.70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33.70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26</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30305</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生活补助</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7.40</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7.40</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27</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30309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奖励金</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0.07</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0.07</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w:t>
            </w:r>
          </w:p>
        </w:tc>
        <w:tc>
          <w:tcPr>
            <w:tcW w:w="1191"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30399</w:t>
            </w:r>
          </w:p>
        </w:tc>
        <w:tc>
          <w:tcPr>
            <w:tcW w:w="4535"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其他对个人和家庭的补助</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1.04</w:t>
            </w:r>
          </w:p>
        </w:tc>
        <w:tc>
          <w:tcPr>
            <w:tcW w:w="255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1.04</w:t>
            </w:r>
          </w:p>
        </w:tc>
        <w:tc>
          <w:tcPr>
            <w:tcW w:w="2552" w:type="dxa"/>
            <w:tcBorders>
              <w:top w:val="single" w:color="000000" w:sz="6" w:space="0"/>
              <w:left w:val="single" w:color="000000" w:sz="6" w:space="0"/>
              <w:right w:val="single" w:color="000000" w:sz="6" w:space="0"/>
            </w:tcBorders>
            <w:vAlign w:val="center"/>
          </w:tcPr>
          <w:p>
            <w:pPr>
              <w:pStyle w:val="17"/>
              <w:rPr>
                <w:highlight w:val="none"/>
              </w:rPr>
            </w:pPr>
          </w:p>
        </w:tc>
      </w:tr>
    </w:tbl>
    <w:p>
      <w:pPr>
        <w:rPr>
          <w:highlight w:val="none"/>
        </w:rPr>
        <w:sectPr>
          <w:pgSz w:w="16840" w:h="11900" w:orient="landscape"/>
          <w:pgMar w:top="1361" w:right="1020" w:bottom="1134" w:left="1020" w:header="720" w:footer="720" w:gutter="0"/>
          <w:cols w:space="720" w:num="1"/>
          <w:docGrid w:linePitch="326" w:charSpace="0"/>
        </w:sectPr>
      </w:pPr>
    </w:p>
    <w:p>
      <w:pPr>
        <w:jc w:val="center"/>
        <w:outlineLvl w:val="1"/>
        <w:rPr>
          <w:highlight w:val="none"/>
        </w:rPr>
      </w:pPr>
      <w:bookmarkStart w:id="6" w:name="_Toc30902872"/>
      <w:r>
        <w:rPr>
          <w:rFonts w:hint="eastAsia" w:ascii="方正小标宋_GBK" w:eastAsia="方正小标宋_GBK" w:cs="方正小标宋_GBK"/>
          <w:color w:val="000000"/>
          <w:sz w:val="36"/>
          <w:highlight w:val="none"/>
        </w:rPr>
        <w:t>部门预算政府基金预算财政拨款支出表</w:t>
      </w:r>
      <w:bookmarkEnd w:id="6"/>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551"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102"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5726"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功能分类科目</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基本支出</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科目编码</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科目名称</w:t>
            </w:r>
          </w:p>
        </w:tc>
        <w:tc>
          <w:tcPr>
            <w:tcW w:w="2551" w:type="dxa"/>
            <w:vMerge w:val="continue"/>
            <w:tcBorders>
              <w:top w:val="single" w:color="000000" w:sz="6" w:space="0"/>
              <w:left w:val="single" w:color="000000" w:sz="6" w:space="0"/>
              <w:right w:val="single" w:color="000000" w:sz="6" w:space="0"/>
            </w:tcBorders>
          </w:tcPr>
          <w:p/>
        </w:tc>
        <w:tc>
          <w:tcPr>
            <w:tcW w:w="2551" w:type="dxa"/>
            <w:vMerge w:val="continue"/>
            <w:tcBorders>
              <w:top w:val="single" w:color="000000" w:sz="6" w:space="0"/>
              <w:left w:val="single" w:color="000000" w:sz="6" w:space="0"/>
              <w:right w:val="single" w:color="000000" w:sz="6" w:space="0"/>
            </w:tcBorders>
          </w:tcPr>
          <w:p/>
        </w:tc>
        <w:tc>
          <w:tcPr>
            <w:tcW w:w="2551"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p>
        </w:tc>
        <w:tc>
          <w:tcPr>
            <w:tcW w:w="1191" w:type="dxa"/>
            <w:tcBorders>
              <w:top w:val="single" w:color="000000" w:sz="6" w:space="0"/>
              <w:left w:val="single" w:color="000000" w:sz="6" w:space="0"/>
              <w:right w:val="single" w:color="000000" w:sz="6" w:space="0"/>
            </w:tcBorders>
            <w:vAlign w:val="center"/>
          </w:tcPr>
          <w:p>
            <w:pPr>
              <w:pStyle w:val="18"/>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bl>
    <w:p>
      <w:pPr>
        <w:ind w:firstLine="420"/>
        <w:rPr>
          <w:highlight w:val="none"/>
        </w:rPr>
        <w:sectPr>
          <w:pgSz w:w="16840" w:h="11900" w:orient="landscape"/>
          <w:pgMar w:top="1361" w:right="1020" w:bottom="1134" w:left="1020" w:header="720" w:footer="720" w:gutter="0"/>
          <w:cols w:space="720" w:num="1"/>
          <w:docGrid w:linePitch="326" w:charSpace="0"/>
        </w:sectPr>
      </w:pPr>
      <w:r>
        <w:rPr>
          <w:rFonts w:hint="eastAsia" w:ascii="宋体" w:cs="宋体"/>
          <w:color w:val="000000"/>
          <w:sz w:val="21"/>
          <w:highlight w:val="none"/>
        </w:rPr>
        <w:t>注：无政府基金预算财政拨款预算，空表列示。</w:t>
      </w:r>
    </w:p>
    <w:p>
      <w:pPr>
        <w:jc w:val="center"/>
        <w:outlineLvl w:val="1"/>
        <w:rPr>
          <w:highlight w:val="none"/>
        </w:rPr>
      </w:pPr>
      <w:bookmarkStart w:id="7" w:name="_Toc30902873"/>
      <w:r>
        <w:rPr>
          <w:rFonts w:hint="eastAsia" w:ascii="方正小标宋_GBK" w:eastAsia="方正小标宋_GBK" w:cs="方正小标宋_GBK"/>
          <w:color w:val="000000"/>
          <w:sz w:val="36"/>
          <w:highlight w:val="none"/>
        </w:rPr>
        <w:t>部门预算国有资本经营预算财政拨款支出表</w:t>
      </w:r>
      <w:bookmarkEnd w:id="7"/>
    </w:p>
    <w:tbl>
      <w:tblPr>
        <w:tblStyle w:val="11"/>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551"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5102"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5726"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功能分类科目</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基本支出</w:t>
            </w:r>
          </w:p>
        </w:tc>
        <w:tc>
          <w:tcPr>
            <w:tcW w:w="2551"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right w:val="single" w:color="000000" w:sz="6" w:space="0"/>
            </w:tcBorders>
          </w:tcP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科目编码</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科目名称</w:t>
            </w:r>
          </w:p>
        </w:tc>
        <w:tc>
          <w:tcPr>
            <w:tcW w:w="2551" w:type="dxa"/>
            <w:vMerge w:val="continue"/>
            <w:tcBorders>
              <w:top w:val="single" w:color="000000" w:sz="6" w:space="0"/>
              <w:left w:val="single" w:color="000000" w:sz="6" w:space="0"/>
              <w:right w:val="single" w:color="000000" w:sz="6" w:space="0"/>
            </w:tcBorders>
          </w:tcPr>
          <w:p/>
        </w:tc>
        <w:tc>
          <w:tcPr>
            <w:tcW w:w="2551" w:type="dxa"/>
            <w:vMerge w:val="continue"/>
            <w:tcBorders>
              <w:top w:val="single" w:color="000000" w:sz="6" w:space="0"/>
              <w:left w:val="single" w:color="000000" w:sz="6" w:space="0"/>
              <w:right w:val="single" w:color="000000" w:sz="6" w:space="0"/>
            </w:tcBorders>
          </w:tcPr>
          <w:p/>
        </w:tc>
        <w:tc>
          <w:tcPr>
            <w:tcW w:w="2551"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119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4535"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255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p>
        </w:tc>
        <w:tc>
          <w:tcPr>
            <w:tcW w:w="1191" w:type="dxa"/>
            <w:tcBorders>
              <w:top w:val="single" w:color="000000" w:sz="6" w:space="0"/>
              <w:left w:val="single" w:color="000000" w:sz="6" w:space="0"/>
              <w:right w:val="single" w:color="000000" w:sz="6" w:space="0"/>
            </w:tcBorders>
            <w:vAlign w:val="center"/>
          </w:tcPr>
          <w:p>
            <w:pPr>
              <w:pStyle w:val="18"/>
              <w:rPr>
                <w:highlight w:val="none"/>
              </w:rPr>
            </w:pPr>
          </w:p>
        </w:tc>
        <w:tc>
          <w:tcPr>
            <w:tcW w:w="4535" w:type="dxa"/>
            <w:tcBorders>
              <w:top w:val="single" w:color="000000" w:sz="6" w:space="0"/>
              <w:left w:val="single" w:color="000000" w:sz="6" w:space="0"/>
              <w:right w:val="single" w:color="000000" w:sz="6" w:space="0"/>
            </w:tcBorders>
            <w:vAlign w:val="center"/>
          </w:tcPr>
          <w:p>
            <w:pPr>
              <w:pStyle w:val="18"/>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c>
          <w:tcPr>
            <w:tcW w:w="2551" w:type="dxa"/>
            <w:tcBorders>
              <w:top w:val="single" w:color="000000" w:sz="6" w:space="0"/>
              <w:left w:val="single" w:color="000000" w:sz="6" w:space="0"/>
              <w:right w:val="single" w:color="000000" w:sz="6" w:space="0"/>
            </w:tcBorders>
            <w:vAlign w:val="center"/>
          </w:tcPr>
          <w:p>
            <w:pPr>
              <w:pStyle w:val="17"/>
              <w:rPr>
                <w:highlight w:val="none"/>
              </w:rPr>
            </w:pPr>
          </w:p>
        </w:tc>
      </w:tr>
    </w:tbl>
    <w:p>
      <w:pPr>
        <w:ind w:firstLine="420"/>
        <w:rPr>
          <w:highlight w:val="none"/>
        </w:rPr>
        <w:sectPr>
          <w:pgSz w:w="16840" w:h="11900" w:orient="landscape"/>
          <w:pgMar w:top="1361" w:right="1020" w:bottom="1134" w:left="1020" w:header="720" w:footer="720" w:gutter="0"/>
          <w:cols w:space="720" w:num="1"/>
          <w:docGrid w:linePitch="326" w:charSpace="0"/>
        </w:sectPr>
      </w:pPr>
      <w:r>
        <w:rPr>
          <w:rFonts w:hint="eastAsia" w:ascii="宋体" w:cs="宋体"/>
          <w:color w:val="000000"/>
          <w:sz w:val="21"/>
          <w:highlight w:val="none"/>
        </w:rPr>
        <w:t>注：无国有资本经营预算财政拨款预算，空表列示。</w:t>
      </w:r>
    </w:p>
    <w:p>
      <w:pPr>
        <w:jc w:val="center"/>
        <w:outlineLvl w:val="1"/>
        <w:rPr>
          <w:highlight w:val="none"/>
        </w:rPr>
      </w:pPr>
      <w:bookmarkStart w:id="8" w:name="_Toc30902874"/>
      <w:r>
        <w:rPr>
          <w:rFonts w:hint="eastAsia" w:ascii="方正小标宋_GBK" w:eastAsia="方正小标宋_GBK" w:cs="方正小标宋_GBK"/>
          <w:color w:val="000000"/>
          <w:sz w:val="36"/>
          <w:highlight w:val="none"/>
        </w:rPr>
        <w:t>部门预算财政拨款“三公”经费支出表</w:t>
      </w:r>
      <w:bookmarkEnd w:id="8"/>
    </w:p>
    <w:tbl>
      <w:tblPr>
        <w:tblStyle w:val="11"/>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2381" w:type="dxa"/>
            <w:tcBorders>
              <w:top w:val="single" w:color="FFFFFF" w:sz="6" w:space="0"/>
              <w:left w:val="single" w:color="FFFFFF" w:sz="6" w:space="0"/>
              <w:right w:val="single" w:color="FFFFFF" w:sz="6" w:space="0"/>
            </w:tcBorders>
            <w:vAlign w:val="center"/>
          </w:tcPr>
          <w:p>
            <w:pPr>
              <w:pStyle w:val="14"/>
              <w:rPr>
                <w:highlight w:val="none"/>
              </w:rPr>
            </w:pPr>
            <w:r>
              <w:rPr>
                <w:rFonts w:hint="eastAsia"/>
                <w:highlight w:val="none"/>
              </w:rPr>
              <w:t>预算年度：</w:t>
            </w:r>
            <w:r>
              <w:rPr>
                <w:highlight w:val="none"/>
              </w:rPr>
              <w:t>2022</w:t>
            </w:r>
          </w:p>
        </w:tc>
        <w:tc>
          <w:tcPr>
            <w:tcW w:w="4762"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序号</w:t>
            </w:r>
          </w:p>
        </w:tc>
        <w:tc>
          <w:tcPr>
            <w:tcW w:w="3798"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w:t>
            </w:r>
            <w:r>
              <w:rPr>
                <w:highlight w:val="none"/>
              </w:rPr>
              <w:t xml:space="preserve">  </w:t>
            </w:r>
            <w:r>
              <w:rPr>
                <w:rFonts w:hint="eastAsia" w:ascii="宋体" w:cs="宋体"/>
                <w:highlight w:val="none"/>
              </w:rPr>
              <w:t>目</w:t>
            </w:r>
          </w:p>
        </w:tc>
        <w:tc>
          <w:tcPr>
            <w:tcW w:w="9525" w:type="dxa"/>
            <w:gridSpan w:val="4"/>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资</w:t>
            </w:r>
            <w:r>
              <w:rPr>
                <w:highlight w:val="none"/>
              </w:rPr>
              <w:t xml:space="preserve"> </w:t>
            </w:r>
            <w:r>
              <w:rPr>
                <w:rFonts w:hint="eastAsia" w:ascii="宋体" w:cs="宋体"/>
                <w:highlight w:val="none"/>
              </w:rPr>
              <w:t>金</w:t>
            </w:r>
            <w:r>
              <w:rPr>
                <w:highlight w:val="none"/>
              </w:rPr>
              <w:t xml:space="preserve"> </w:t>
            </w:r>
            <w:r>
              <w:rPr>
                <w:rFonts w:hint="eastAsia" w:ascii="宋体" w:cs="宋体"/>
                <w:highlight w:val="none"/>
              </w:rPr>
              <w:t>性</w:t>
            </w:r>
            <w:r>
              <w:rPr>
                <w:highlight w:val="none"/>
              </w:rPr>
              <w:t xml:space="preserve"> </w:t>
            </w:r>
            <w:r>
              <w:rPr>
                <w:rFonts w:hint="eastAsia" w:ascii="宋体" w:cs="宋体"/>
                <w:highlight w:val="none"/>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right w:val="single" w:color="000000" w:sz="6" w:space="0"/>
            </w:tcBorders>
          </w:tcPr>
          <w:p/>
        </w:tc>
        <w:tc>
          <w:tcPr>
            <w:tcW w:w="3798" w:type="dxa"/>
            <w:vMerge w:val="continue"/>
            <w:tcBorders>
              <w:top w:val="single" w:color="000000" w:sz="6" w:space="0"/>
              <w:left w:val="single" w:color="000000" w:sz="6" w:space="0"/>
              <w:right w:val="single" w:color="000000" w:sz="6" w:space="0"/>
            </w:tcBorders>
          </w:tcPr>
          <w:p/>
        </w:tc>
        <w:tc>
          <w:tcPr>
            <w:tcW w:w="2382"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238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一般公共预算</w:t>
            </w:r>
            <w:r>
              <w:rPr>
                <w:highlight w:val="none"/>
              </w:rPr>
              <w:t xml:space="preserve">              </w:t>
            </w:r>
            <w:r>
              <w:rPr>
                <w:rFonts w:hint="eastAsia" w:ascii="宋体" w:cs="宋体"/>
                <w:highlight w:val="none"/>
              </w:rPr>
              <w:t>财政拨款</w:t>
            </w:r>
          </w:p>
        </w:tc>
        <w:tc>
          <w:tcPr>
            <w:tcW w:w="238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政府性基金</w:t>
            </w:r>
            <w:r>
              <w:rPr>
                <w:highlight w:val="none"/>
              </w:rPr>
              <w:t xml:space="preserve">                  </w:t>
            </w:r>
            <w:r>
              <w:rPr>
                <w:rFonts w:hint="eastAsia" w:ascii="宋体" w:cs="宋体"/>
                <w:highlight w:val="none"/>
              </w:rPr>
              <w:t>预算拨款</w:t>
            </w:r>
          </w:p>
        </w:tc>
        <w:tc>
          <w:tcPr>
            <w:tcW w:w="238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国有资本经营</w:t>
            </w:r>
            <w:r>
              <w:rPr>
                <w:highlight w:val="none"/>
              </w:rPr>
              <w:t xml:space="preserve">              </w:t>
            </w:r>
            <w:r>
              <w:rPr>
                <w:rFonts w:hint="eastAsia" w:ascii="宋体" w:cs="宋体"/>
                <w:highlight w:val="none"/>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栏次</w:t>
            </w:r>
          </w:p>
        </w:tc>
        <w:tc>
          <w:tcPr>
            <w:tcW w:w="3798" w:type="dxa"/>
            <w:tcBorders>
              <w:top w:val="single" w:color="000000" w:sz="6" w:space="0"/>
              <w:left w:val="single" w:color="000000" w:sz="6" w:space="0"/>
              <w:right w:val="single" w:color="000000" w:sz="6" w:space="0"/>
            </w:tcBorders>
            <w:vAlign w:val="center"/>
          </w:tcPr>
          <w:p>
            <w:pPr>
              <w:pStyle w:val="16"/>
              <w:rPr>
                <w:highlight w:val="none"/>
              </w:rPr>
            </w:pPr>
            <w:r>
              <w:rPr>
                <w:highlight w:val="none"/>
              </w:rPr>
              <w:t>1</w:t>
            </w:r>
          </w:p>
        </w:tc>
        <w:tc>
          <w:tcPr>
            <w:tcW w:w="2382" w:type="dxa"/>
            <w:tcBorders>
              <w:top w:val="single" w:color="000000" w:sz="6" w:space="0"/>
              <w:left w:val="single" w:color="000000" w:sz="6" w:space="0"/>
              <w:right w:val="single" w:color="000000" w:sz="6" w:space="0"/>
            </w:tcBorders>
            <w:vAlign w:val="center"/>
          </w:tcPr>
          <w:p>
            <w:pPr>
              <w:pStyle w:val="16"/>
              <w:rPr>
                <w:highlight w:val="none"/>
              </w:rPr>
            </w:pPr>
            <w:r>
              <w:rPr>
                <w:highlight w:val="none"/>
              </w:rPr>
              <w:t>2</w:t>
            </w:r>
          </w:p>
        </w:tc>
        <w:tc>
          <w:tcPr>
            <w:tcW w:w="238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3</w:t>
            </w:r>
          </w:p>
        </w:tc>
        <w:tc>
          <w:tcPr>
            <w:tcW w:w="238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4</w:t>
            </w:r>
          </w:p>
        </w:tc>
        <w:tc>
          <w:tcPr>
            <w:tcW w:w="2381" w:type="dxa"/>
            <w:tcBorders>
              <w:top w:val="single" w:color="000000" w:sz="6" w:space="0"/>
              <w:left w:val="single" w:color="000000" w:sz="6" w:space="0"/>
              <w:right w:val="single" w:color="000000" w:sz="6" w:space="0"/>
            </w:tcBorders>
            <w:vAlign w:val="center"/>
          </w:tcPr>
          <w:p>
            <w:pPr>
              <w:pStyle w:val="16"/>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1</w:t>
            </w:r>
          </w:p>
        </w:tc>
        <w:tc>
          <w:tcPr>
            <w:tcW w:w="3798" w:type="dxa"/>
            <w:tcBorders>
              <w:top w:val="single" w:color="000000" w:sz="6" w:space="0"/>
              <w:left w:val="single" w:color="000000" w:sz="6" w:space="0"/>
              <w:right w:val="single" w:color="000000" w:sz="6" w:space="0"/>
            </w:tcBorders>
            <w:vAlign w:val="center"/>
          </w:tcPr>
          <w:p>
            <w:pPr>
              <w:pStyle w:val="20"/>
              <w:rPr>
                <w:highlight w:val="none"/>
              </w:rPr>
            </w:pPr>
            <w:r>
              <w:rPr>
                <w:rFonts w:hint="eastAsia" w:ascii="宋体" w:cs="宋体"/>
                <w:highlight w:val="none"/>
              </w:rPr>
              <w:t>合计</w:t>
            </w:r>
          </w:p>
        </w:tc>
        <w:tc>
          <w:tcPr>
            <w:tcW w:w="2382" w:type="dxa"/>
            <w:tcBorders>
              <w:top w:val="single" w:color="000000" w:sz="6" w:space="0"/>
              <w:left w:val="single" w:color="000000" w:sz="6" w:space="0"/>
              <w:right w:val="single" w:color="000000" w:sz="6" w:space="0"/>
            </w:tcBorders>
            <w:vAlign w:val="center"/>
          </w:tcPr>
          <w:p>
            <w:pPr>
              <w:pStyle w:val="21"/>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21"/>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21"/>
              <w:rPr>
                <w:highlight w:val="none"/>
              </w:rPr>
            </w:pPr>
          </w:p>
        </w:tc>
        <w:tc>
          <w:tcPr>
            <w:tcW w:w="2381" w:type="dxa"/>
            <w:tcBorders>
              <w:top w:val="single" w:color="000000" w:sz="6" w:space="0"/>
              <w:left w:val="single" w:color="000000" w:sz="6" w:space="0"/>
              <w:right w:val="single" w:color="000000" w:sz="6" w:space="0"/>
            </w:tcBorders>
            <w:vAlign w:val="center"/>
          </w:tcPr>
          <w:p>
            <w:pPr>
              <w:pStyle w:val="2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highlight w:val="none"/>
              </w:rPr>
              <w:t>“</w:t>
            </w:r>
            <w:r>
              <w:rPr>
                <w:rFonts w:hint="eastAsia" w:ascii="宋体" w:cs="宋体"/>
                <w:highlight w:val="none"/>
              </w:rPr>
              <w:t>三公</w:t>
            </w:r>
            <w:r>
              <w:rPr>
                <w:highlight w:val="none"/>
              </w:rPr>
              <w:t>”</w:t>
            </w:r>
            <w:r>
              <w:rPr>
                <w:rFonts w:hint="eastAsia" w:ascii="宋体" w:cs="宋体"/>
                <w:highlight w:val="none"/>
              </w:rPr>
              <w:t>经费小计</w:t>
            </w:r>
          </w:p>
        </w:tc>
        <w:tc>
          <w:tcPr>
            <w:tcW w:w="238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一、因公出国（境）费</w:t>
            </w:r>
          </w:p>
        </w:tc>
        <w:tc>
          <w:tcPr>
            <w:tcW w:w="2382"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4</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highlight w:val="none"/>
              </w:rPr>
              <w:t xml:space="preserve">         </w:t>
            </w:r>
            <w:r>
              <w:rPr>
                <w:rFonts w:hint="eastAsia" w:ascii="宋体" w:cs="宋体"/>
                <w:highlight w:val="none"/>
              </w:rPr>
              <w:t>其中：教学科研人员因公出国（境）</w:t>
            </w:r>
          </w:p>
        </w:tc>
        <w:tc>
          <w:tcPr>
            <w:tcW w:w="2382"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5</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highlight w:val="none"/>
              </w:rPr>
              <w:t xml:space="preserve">                      </w:t>
            </w:r>
            <w:r>
              <w:rPr>
                <w:rFonts w:hint="eastAsia" w:ascii="宋体" w:cs="宋体"/>
                <w:highlight w:val="none"/>
              </w:rPr>
              <w:t>其他因公出国（境）费</w:t>
            </w:r>
          </w:p>
        </w:tc>
        <w:tc>
          <w:tcPr>
            <w:tcW w:w="2382"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6</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二、公务用车购置及运维费</w:t>
            </w:r>
          </w:p>
        </w:tc>
        <w:tc>
          <w:tcPr>
            <w:tcW w:w="238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7</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highlight w:val="none"/>
              </w:rPr>
              <w:t xml:space="preserve">         </w:t>
            </w:r>
            <w:r>
              <w:rPr>
                <w:rFonts w:hint="eastAsia" w:ascii="宋体" w:cs="宋体"/>
                <w:highlight w:val="none"/>
              </w:rPr>
              <w:t>其中：公务用车购置费</w:t>
            </w:r>
          </w:p>
        </w:tc>
        <w:tc>
          <w:tcPr>
            <w:tcW w:w="2382"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8</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highlight w:val="none"/>
              </w:rPr>
              <w:t xml:space="preserve">                      </w:t>
            </w:r>
            <w:r>
              <w:rPr>
                <w:rFonts w:hint="eastAsia" w:ascii="宋体" w:cs="宋体"/>
                <w:highlight w:val="none"/>
              </w:rPr>
              <w:t>公务用车运行维护费</w:t>
            </w:r>
          </w:p>
        </w:tc>
        <w:tc>
          <w:tcPr>
            <w:tcW w:w="2382"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17"/>
              <w:rPr>
                <w:highlight w:val="none"/>
              </w:rPr>
            </w:pPr>
            <w:r>
              <w:rPr>
                <w:highlight w:val="none"/>
              </w:rPr>
              <w:t>3.00</w:t>
            </w: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right w:val="single" w:color="000000" w:sz="6" w:space="0"/>
            </w:tcBorders>
            <w:vAlign w:val="center"/>
          </w:tcPr>
          <w:p>
            <w:pPr>
              <w:pStyle w:val="19"/>
              <w:rPr>
                <w:highlight w:val="none"/>
              </w:rPr>
            </w:pPr>
            <w:r>
              <w:rPr>
                <w:highlight w:val="none"/>
              </w:rPr>
              <w:t>9</w:t>
            </w:r>
          </w:p>
        </w:tc>
        <w:tc>
          <w:tcPr>
            <w:tcW w:w="3798"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三、公务接待费</w:t>
            </w:r>
          </w:p>
        </w:tc>
        <w:tc>
          <w:tcPr>
            <w:tcW w:w="2382"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c>
          <w:tcPr>
            <w:tcW w:w="2381" w:type="dxa"/>
            <w:tcBorders>
              <w:top w:val="single" w:color="000000" w:sz="6" w:space="0"/>
              <w:left w:val="single" w:color="000000" w:sz="6" w:space="0"/>
              <w:right w:val="single" w:color="000000" w:sz="6" w:space="0"/>
            </w:tcBorders>
            <w:vAlign w:val="center"/>
          </w:tcPr>
          <w:p>
            <w:pPr>
              <w:pStyle w:val="17"/>
              <w:rPr>
                <w:highlight w:val="none"/>
              </w:rPr>
            </w:pPr>
          </w:p>
        </w:tc>
      </w:tr>
    </w:tbl>
    <w:p>
      <w:pPr>
        <w:jc w:val="center"/>
        <w:outlineLvl w:val="0"/>
        <w:rPr>
          <w:highlight w:val="none"/>
        </w:rPr>
        <w:sectPr>
          <w:pgSz w:w="16840" w:h="11900" w:orient="landscape"/>
          <w:pgMar w:top="1361" w:right="1020" w:bottom="1361" w:left="1020" w:header="720" w:footer="720" w:gutter="0"/>
          <w:cols w:space="720" w:num="1"/>
          <w:docGrid w:linePitch="326" w:charSpace="0"/>
        </w:sectPr>
      </w:pPr>
      <w:r>
        <w:rPr>
          <w:rFonts w:hint="eastAsia" w:ascii="宋体" w:cs="宋体"/>
          <w:color w:val="FFFFFF"/>
          <w:sz w:val="21"/>
          <w:highlight w:val="none"/>
        </w:rPr>
        <w:t>第一部分</w:t>
      </w:r>
      <w:r>
        <w:rPr>
          <w:rFonts w:ascii="????_GBK" w:hAnsi="????_GBK" w:cs="????_GBK"/>
          <w:color w:val="FFFFFF"/>
          <w:sz w:val="21"/>
          <w:highlight w:val="none"/>
        </w:rPr>
        <w:t xml:space="preserve">  </w:t>
      </w:r>
      <w:r>
        <w:rPr>
          <w:rFonts w:hint="eastAsia" w:ascii="宋体" w:cs="宋体"/>
          <w:color w:val="FFFFFF"/>
          <w:sz w:val="21"/>
          <w:highlight w:val="none"/>
        </w:rPr>
        <w:t>灵寿县青同镇人民政府</w:t>
      </w:r>
      <w:r>
        <w:rPr>
          <w:rFonts w:ascii="????_GBK" w:hAnsi="????_GBK" w:cs="????_GBK"/>
          <w:color w:val="FFFFFF"/>
          <w:sz w:val="21"/>
          <w:highlight w:val="none"/>
        </w:rPr>
        <w:t>2022</w:t>
      </w:r>
      <w:r>
        <w:rPr>
          <w:rFonts w:hint="eastAsia" w:ascii="宋体" w:cs="宋体"/>
          <w:color w:val="FFFFFF"/>
          <w:sz w:val="21"/>
          <w:highlight w:val="none"/>
        </w:rPr>
        <w:t>年部门预算信息公开情况说明</w:t>
      </w:r>
    </w:p>
    <w:p>
      <w:pPr>
        <w:jc w:val="center"/>
        <w:rPr>
          <w:highlight w:val="none"/>
        </w:rPr>
      </w:pPr>
      <w:r>
        <w:rPr>
          <w:rFonts w:hint="eastAsia" w:ascii="方正小标宋_GBK" w:eastAsia="方正小标宋_GBK" w:cs="方正小标宋_GBK"/>
          <w:color w:val="000000"/>
          <w:sz w:val="44"/>
          <w:highlight w:val="none"/>
        </w:rPr>
        <w:t>灵寿县青同镇人民政府</w:t>
      </w:r>
      <w:r>
        <w:rPr>
          <w:rFonts w:ascii="方正小标宋_GBK" w:eastAsia="方正小标宋_GBK" w:cs="方正小标宋_GBK"/>
          <w:color w:val="000000"/>
          <w:sz w:val="44"/>
          <w:highlight w:val="none"/>
        </w:rPr>
        <w:t>2022</w:t>
      </w:r>
      <w:r>
        <w:rPr>
          <w:rFonts w:hint="eastAsia" w:ascii="方正小标宋_GBK" w:eastAsia="方正小标宋_GBK" w:cs="方正小标宋_GBK"/>
          <w:color w:val="000000"/>
          <w:sz w:val="44"/>
          <w:highlight w:val="none"/>
        </w:rPr>
        <w:t>年部门预算信息公开情况说明</w:t>
      </w:r>
    </w:p>
    <w:p>
      <w:pPr>
        <w:spacing w:line="500" w:lineRule="exact"/>
        <w:ind w:firstLine="560"/>
        <w:rPr>
          <w:highlight w:val="none"/>
        </w:rPr>
      </w:pPr>
      <w:r>
        <w:rPr>
          <w:rFonts w:hint="eastAsia" w:ascii="宋体" w:cs="宋体"/>
          <w:color w:val="000000"/>
          <w:sz w:val="28"/>
          <w:highlight w:val="none"/>
        </w:rPr>
        <w:t>按照《</w:t>
      </w:r>
      <w:r>
        <w:rPr>
          <w:rFonts w:hint="eastAsia" w:ascii="宋体" w:cs="宋体"/>
          <w:color w:val="000000"/>
          <w:sz w:val="28"/>
          <w:highlight w:val="none"/>
          <w:lang w:eastAsia="zh-CN"/>
        </w:rPr>
        <w:t>中华人民共和国预算法</w:t>
      </w:r>
      <w:r>
        <w:rPr>
          <w:rFonts w:hint="eastAsia" w:ascii="宋体" w:cs="宋体"/>
          <w:color w:val="000000"/>
          <w:sz w:val="28"/>
          <w:highlight w:val="none"/>
        </w:rPr>
        <w:t>》、《地方预决算公开操作规程》和《关于进一步推进预算公开工作的实施意见》规定，现将灵寿县青同镇人民政府</w:t>
      </w:r>
      <w:r>
        <w:rPr>
          <w:rFonts w:eastAsia="Times New Roman"/>
          <w:color w:val="000000"/>
          <w:sz w:val="28"/>
          <w:highlight w:val="none"/>
        </w:rPr>
        <w:t>2022</w:t>
      </w:r>
      <w:r>
        <w:rPr>
          <w:rFonts w:hint="eastAsia" w:ascii="宋体" w:cs="宋体"/>
          <w:color w:val="000000"/>
          <w:sz w:val="28"/>
          <w:highlight w:val="none"/>
        </w:rPr>
        <w:t>年部门预算公开如下：</w:t>
      </w:r>
    </w:p>
    <w:p>
      <w:pPr>
        <w:spacing w:before="10" w:after="10" w:line="360" w:lineRule="auto"/>
        <w:ind w:firstLine="640"/>
        <w:outlineLvl w:val="2"/>
        <w:rPr>
          <w:highlight w:val="none"/>
        </w:rPr>
      </w:pPr>
      <w:bookmarkStart w:id="9" w:name="_Toc30902875"/>
      <w:r>
        <w:rPr>
          <w:rFonts w:hint="eastAsia" w:ascii="黑体" w:eastAsia="黑体" w:cs="黑体"/>
          <w:color w:val="000000"/>
          <w:sz w:val="32"/>
          <w:highlight w:val="none"/>
        </w:rPr>
        <w:t>一、部门职责及机构设置情况</w:t>
      </w:r>
      <w:bookmarkEnd w:id="9"/>
    </w:p>
    <w:p>
      <w:pPr>
        <w:ind w:firstLine="640"/>
        <w:rPr>
          <w:highlight w:val="none"/>
        </w:rPr>
      </w:pPr>
      <w:r>
        <w:rPr>
          <w:rFonts w:hint="eastAsia" w:ascii="宋体" w:cs="宋体"/>
          <w:b/>
          <w:color w:val="000000"/>
          <w:sz w:val="32"/>
          <w:highlight w:val="none"/>
        </w:rPr>
        <w:t>部门职责：</w:t>
      </w:r>
    </w:p>
    <w:p>
      <w:pPr>
        <w:pStyle w:val="23"/>
        <w:rPr>
          <w:highlight w:val="none"/>
        </w:rPr>
      </w:pPr>
      <w:r>
        <w:rPr>
          <w:highlight w:val="none"/>
        </w:rPr>
        <w:t>(</w:t>
      </w:r>
      <w:r>
        <w:rPr>
          <w:rFonts w:hint="eastAsia" w:ascii="宋体" w:cs="宋体"/>
          <w:highlight w:val="none"/>
        </w:rPr>
        <w:t>一</w:t>
      </w:r>
      <w:r>
        <w:rPr>
          <w:highlight w:val="none"/>
        </w:rPr>
        <w:t>)</w:t>
      </w:r>
      <w:r>
        <w:rPr>
          <w:rFonts w:hint="eastAsia" w:ascii="宋体" w:cs="宋体"/>
          <w:highlight w:val="none"/>
        </w:rPr>
        <w:t>宣传贯彻执行党的路线方针政策和党中央、上级党组织及本乡镇党员代表大会</w:t>
      </w:r>
      <w:r>
        <w:rPr>
          <w:highlight w:val="none"/>
        </w:rPr>
        <w:t>(</w:t>
      </w:r>
      <w:r>
        <w:rPr>
          <w:rFonts w:hint="eastAsia" w:ascii="宋体" w:cs="宋体"/>
          <w:highlight w:val="none"/>
        </w:rPr>
        <w:t>党员大会</w:t>
      </w:r>
      <w:r>
        <w:rPr>
          <w:highlight w:val="none"/>
        </w:rPr>
        <w:t>)</w:t>
      </w:r>
      <w:r>
        <w:rPr>
          <w:rFonts w:hint="eastAsia" w:ascii="宋体" w:cs="宋体"/>
          <w:highlight w:val="none"/>
        </w:rPr>
        <w:t>的决议。贯彻执行法律、法规、规章和上级人民代表大会及其常务委员会决议及上级政府的决定命令，执行本级人民代表大会的决议。</w:t>
      </w:r>
    </w:p>
    <w:p>
      <w:pPr>
        <w:pStyle w:val="23"/>
        <w:rPr>
          <w:highlight w:val="none"/>
        </w:rPr>
      </w:pPr>
      <w:r>
        <w:rPr>
          <w:highlight w:val="none"/>
        </w:rPr>
        <w:t>(</w:t>
      </w:r>
      <w:r>
        <w:rPr>
          <w:rFonts w:hint="eastAsia" w:ascii="宋体" w:cs="宋体"/>
          <w:highlight w:val="none"/>
        </w:rPr>
        <w:t>二</w:t>
      </w:r>
      <w:r>
        <w:rPr>
          <w:highlight w:val="none"/>
        </w:rPr>
        <w:t>)</w:t>
      </w:r>
      <w:r>
        <w:rPr>
          <w:rFonts w:hint="eastAsia" w:ascii="宋体" w:cs="宋体"/>
          <w:highlight w:val="none"/>
        </w:rPr>
        <w:t>讨论和决定本乡镇经济建设、政治建设、文化建设、社会建设、生态文明建设和党的建设以及乡村振兴中的重大问题。</w:t>
      </w:r>
    </w:p>
    <w:p>
      <w:pPr>
        <w:pStyle w:val="23"/>
        <w:rPr>
          <w:highlight w:val="none"/>
        </w:rPr>
      </w:pPr>
      <w:r>
        <w:rPr>
          <w:highlight w:val="none"/>
        </w:rPr>
        <w:t>(</w:t>
      </w:r>
      <w:r>
        <w:rPr>
          <w:rFonts w:hint="eastAsia" w:ascii="宋体" w:cs="宋体"/>
          <w:highlight w:val="none"/>
        </w:rPr>
        <w:t>三</w:t>
      </w:r>
      <w:r>
        <w:rPr>
          <w:highlight w:val="none"/>
        </w:rPr>
        <w:t>)</w:t>
      </w:r>
      <w:r>
        <w:rPr>
          <w:rFonts w:hint="eastAsia" w:ascii="宋体" w:cs="宋体"/>
          <w:highlight w:val="none"/>
        </w:rPr>
        <w:t>组织召开本级人民代表大会，充分行使重大事项决定权、监督权和任免权，做好人大代表工作，联系选民、反映群众意见和要求。</w:t>
      </w:r>
    </w:p>
    <w:p>
      <w:pPr>
        <w:pStyle w:val="23"/>
        <w:rPr>
          <w:highlight w:val="none"/>
        </w:rPr>
      </w:pPr>
      <w:r>
        <w:rPr>
          <w:highlight w:val="none"/>
        </w:rPr>
        <w:t>(</w:t>
      </w:r>
      <w:r>
        <w:rPr>
          <w:rFonts w:hint="eastAsia" w:ascii="宋体" w:cs="宋体"/>
          <w:highlight w:val="none"/>
        </w:rPr>
        <w:t>四</w:t>
      </w:r>
      <w:r>
        <w:rPr>
          <w:highlight w:val="none"/>
        </w:rPr>
        <w:t>)</w:t>
      </w:r>
      <w:r>
        <w:rPr>
          <w:rFonts w:hint="eastAsia" w:ascii="宋体" w:cs="宋体"/>
          <w:highlight w:val="none"/>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23"/>
        <w:rPr>
          <w:highlight w:val="none"/>
        </w:rPr>
      </w:pPr>
      <w:r>
        <w:rPr>
          <w:highlight w:val="none"/>
        </w:rPr>
        <w:t>(</w:t>
      </w:r>
      <w:r>
        <w:rPr>
          <w:rFonts w:hint="eastAsia" w:ascii="宋体" w:cs="宋体"/>
          <w:highlight w:val="none"/>
        </w:rPr>
        <w:t>五</w:t>
      </w:r>
      <w:r>
        <w:rPr>
          <w:highlight w:val="none"/>
        </w:rPr>
        <w:t>)</w:t>
      </w:r>
      <w:r>
        <w:rPr>
          <w:rFonts w:hint="eastAsia" w:ascii="宋体" w:cs="宋体"/>
          <w:highlight w:val="none"/>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23"/>
        <w:rPr>
          <w:highlight w:val="none"/>
        </w:rPr>
      </w:pPr>
      <w:r>
        <w:rPr>
          <w:highlight w:val="none"/>
        </w:rPr>
        <w:t>(</w:t>
      </w:r>
      <w:r>
        <w:rPr>
          <w:rFonts w:hint="eastAsia" w:ascii="宋体" w:cs="宋体"/>
          <w:highlight w:val="none"/>
        </w:rPr>
        <w:t>六</w:t>
      </w:r>
      <w:r>
        <w:rPr>
          <w:highlight w:val="none"/>
        </w:rPr>
        <w:t>)</w:t>
      </w:r>
      <w:r>
        <w:rPr>
          <w:rFonts w:hint="eastAsia" w:ascii="宋体" w:cs="宋体"/>
          <w:highlight w:val="none"/>
        </w:rPr>
        <w:t>加强乡镇党委自身建设和村党组织建设，以及其他隶属乡镇党委的党组织建设，抓好发展党员工作，加强党员队伍建设，维护和执行党的纪律，监督党员干部和其他任何工作人员严格遵守国家法律法规。</w:t>
      </w:r>
    </w:p>
    <w:p>
      <w:pPr>
        <w:pStyle w:val="23"/>
        <w:rPr>
          <w:highlight w:val="none"/>
        </w:rPr>
      </w:pPr>
      <w:r>
        <w:rPr>
          <w:highlight w:val="none"/>
        </w:rPr>
        <w:t>(</w:t>
      </w:r>
      <w:r>
        <w:rPr>
          <w:rFonts w:hint="eastAsia" w:ascii="宋体" w:cs="宋体"/>
          <w:highlight w:val="none"/>
        </w:rPr>
        <w:t>七</w:t>
      </w:r>
      <w:r>
        <w:rPr>
          <w:highlight w:val="none"/>
        </w:rPr>
        <w:t>)</w:t>
      </w:r>
      <w:r>
        <w:rPr>
          <w:rFonts w:hint="eastAsia" w:ascii="宋体" w:cs="宋体"/>
          <w:highlight w:val="none"/>
        </w:rPr>
        <w:t>按照干部管理权限，负责对干部的教育、培训、选拔、考核和监督工作。协助管理上级有关部门驻乡镇单位的干部。做好人才服务工作</w:t>
      </w:r>
    </w:p>
    <w:p>
      <w:pPr>
        <w:pStyle w:val="23"/>
        <w:rPr>
          <w:highlight w:val="none"/>
        </w:rPr>
      </w:pPr>
      <w:r>
        <w:rPr>
          <w:highlight w:val="none"/>
        </w:rPr>
        <w:t>(</w:t>
      </w:r>
      <w:r>
        <w:rPr>
          <w:rFonts w:hint="eastAsia" w:ascii="宋体" w:cs="宋体"/>
          <w:highlight w:val="none"/>
        </w:rPr>
        <w:t>八</w:t>
      </w:r>
      <w:r>
        <w:rPr>
          <w:highlight w:val="none"/>
        </w:rPr>
        <w:t>)</w:t>
      </w:r>
      <w:r>
        <w:rPr>
          <w:rFonts w:hint="eastAsia" w:ascii="宋体" w:cs="宋体"/>
          <w:highlight w:val="none"/>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3"/>
        <w:rPr>
          <w:highlight w:val="none"/>
        </w:rPr>
      </w:pPr>
      <w:r>
        <w:rPr>
          <w:highlight w:val="none"/>
        </w:rPr>
        <w:t>(</w:t>
      </w:r>
      <w:r>
        <w:rPr>
          <w:rFonts w:hint="eastAsia" w:ascii="宋体" w:cs="宋体"/>
          <w:highlight w:val="none"/>
        </w:rPr>
        <w:t>九</w:t>
      </w:r>
      <w:r>
        <w:rPr>
          <w:highlight w:val="none"/>
        </w:rPr>
        <w:t>)</w:t>
      </w:r>
      <w:r>
        <w:rPr>
          <w:rFonts w:hint="eastAsia" w:ascii="宋体" w:cs="宋体"/>
          <w:highlight w:val="none"/>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23"/>
        <w:rPr>
          <w:highlight w:val="none"/>
        </w:rPr>
      </w:pPr>
      <w:r>
        <w:rPr>
          <w:rFonts w:hint="eastAsia" w:ascii="宋体" w:cs="宋体"/>
          <w:highlight w:val="none"/>
        </w:rPr>
        <w:t>（十）承办上级党委、人大、政府交办的其他事项。</w:t>
      </w:r>
    </w:p>
    <w:p>
      <w:pPr>
        <w:ind w:firstLine="640"/>
        <w:rPr>
          <w:highlight w:val="none"/>
        </w:rPr>
      </w:pPr>
      <w:r>
        <w:rPr>
          <w:rFonts w:hint="eastAsia" w:ascii="宋体" w:cs="宋体"/>
          <w:b/>
          <w:color w:val="000000"/>
          <w:sz w:val="32"/>
          <w:highlight w:val="none"/>
        </w:rPr>
        <w:t>机构设置：</w:t>
      </w:r>
    </w:p>
    <w:p>
      <w:pPr>
        <w:jc w:val="center"/>
        <w:rPr>
          <w:highlight w:val="none"/>
        </w:rPr>
      </w:pPr>
      <w:r>
        <w:rPr>
          <w:rFonts w:hint="eastAsia" w:ascii="方正小标宋_GBK" w:eastAsia="方正小标宋_GBK" w:cs="方正小标宋_GBK"/>
          <w:color w:val="000000"/>
          <w:sz w:val="32"/>
          <w:highlight w:val="none"/>
        </w:rPr>
        <w:t>部门机构设置情况</w:t>
      </w:r>
    </w:p>
    <w:tbl>
      <w:tblPr>
        <w:tblStyle w:val="11"/>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pPr>
              <w:pStyle w:val="16"/>
              <w:rPr>
                <w:highlight w:val="none"/>
              </w:rPr>
            </w:pPr>
            <w:r>
              <w:rPr>
                <w:rFonts w:hint="eastAsia" w:ascii="宋体" w:cs="宋体"/>
                <w:highlight w:val="none"/>
              </w:rPr>
              <w:t>单位名称</w:t>
            </w:r>
          </w:p>
        </w:tc>
        <w:tc>
          <w:tcPr>
            <w:tcW w:w="1843" w:type="dxa"/>
            <w:tcBorders>
              <w:left w:val="single" w:color="000000" w:sz="6" w:space="0"/>
              <w:right w:val="single" w:color="000000" w:sz="6" w:space="0"/>
            </w:tcBorders>
            <w:vAlign w:val="center"/>
          </w:tcPr>
          <w:p>
            <w:pPr>
              <w:pStyle w:val="16"/>
              <w:rPr>
                <w:highlight w:val="none"/>
              </w:rPr>
            </w:pPr>
            <w:r>
              <w:rPr>
                <w:rFonts w:hint="eastAsia" w:ascii="宋体" w:cs="宋体"/>
                <w:highlight w:val="none"/>
              </w:rPr>
              <w:t>单位性质</w:t>
            </w:r>
          </w:p>
        </w:tc>
        <w:tc>
          <w:tcPr>
            <w:tcW w:w="2126" w:type="dxa"/>
            <w:tcBorders>
              <w:left w:val="single" w:color="000000" w:sz="6" w:space="0"/>
              <w:right w:val="single" w:color="000000" w:sz="6" w:space="0"/>
            </w:tcBorders>
            <w:vAlign w:val="center"/>
          </w:tcPr>
          <w:p>
            <w:pPr>
              <w:pStyle w:val="16"/>
              <w:rPr>
                <w:highlight w:val="none"/>
              </w:rPr>
            </w:pPr>
            <w:r>
              <w:rPr>
                <w:rFonts w:hint="eastAsia" w:ascii="宋体" w:cs="宋体"/>
                <w:highlight w:val="none"/>
              </w:rPr>
              <w:t>单位规格</w:t>
            </w:r>
          </w:p>
        </w:tc>
        <w:tc>
          <w:tcPr>
            <w:tcW w:w="3827" w:type="dxa"/>
            <w:tcBorders>
              <w:left w:val="single" w:color="000000" w:sz="6" w:space="0"/>
              <w:right w:val="single" w:color="000000" w:sz="6" w:space="0"/>
            </w:tcBorders>
            <w:vAlign w:val="center"/>
          </w:tcPr>
          <w:p>
            <w:pPr>
              <w:pStyle w:val="16"/>
              <w:rPr>
                <w:highlight w:val="none"/>
              </w:rPr>
            </w:pPr>
            <w:r>
              <w:rPr>
                <w:rFonts w:hint="eastAsia" w:ascii="宋体" w:cs="宋体"/>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灵寿县青同镇人民政府本级</w:t>
            </w:r>
          </w:p>
        </w:tc>
        <w:tc>
          <w:tcPr>
            <w:tcW w:w="1843"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行政</w:t>
            </w:r>
          </w:p>
        </w:tc>
        <w:tc>
          <w:tcPr>
            <w:tcW w:w="2126"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正科级</w:t>
            </w:r>
          </w:p>
        </w:tc>
        <w:tc>
          <w:tcPr>
            <w:tcW w:w="3827"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中国共产党灵寿县青同镇委员会</w:t>
            </w:r>
          </w:p>
        </w:tc>
        <w:tc>
          <w:tcPr>
            <w:tcW w:w="1843"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行政</w:t>
            </w:r>
          </w:p>
        </w:tc>
        <w:tc>
          <w:tcPr>
            <w:tcW w:w="2126"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正科级</w:t>
            </w:r>
          </w:p>
        </w:tc>
        <w:tc>
          <w:tcPr>
            <w:tcW w:w="3827"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灵寿县青同镇行政综合服务中心</w:t>
            </w:r>
          </w:p>
        </w:tc>
        <w:tc>
          <w:tcPr>
            <w:tcW w:w="1843"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事业</w:t>
            </w:r>
          </w:p>
        </w:tc>
        <w:tc>
          <w:tcPr>
            <w:tcW w:w="2126"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股级</w:t>
            </w:r>
          </w:p>
        </w:tc>
        <w:tc>
          <w:tcPr>
            <w:tcW w:w="3827"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灵寿县青同镇综合行政执法队</w:t>
            </w:r>
          </w:p>
        </w:tc>
        <w:tc>
          <w:tcPr>
            <w:tcW w:w="1843"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事业</w:t>
            </w:r>
          </w:p>
        </w:tc>
        <w:tc>
          <w:tcPr>
            <w:tcW w:w="2126"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股级</w:t>
            </w:r>
          </w:p>
        </w:tc>
        <w:tc>
          <w:tcPr>
            <w:tcW w:w="3827"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灵寿县青同镇人民政府（纪委）</w:t>
            </w:r>
          </w:p>
        </w:tc>
        <w:tc>
          <w:tcPr>
            <w:tcW w:w="1843"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行政</w:t>
            </w:r>
          </w:p>
        </w:tc>
        <w:tc>
          <w:tcPr>
            <w:tcW w:w="2126"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副科级</w:t>
            </w:r>
          </w:p>
        </w:tc>
        <w:tc>
          <w:tcPr>
            <w:tcW w:w="3827" w:type="dxa"/>
            <w:tcBorders>
              <w:top w:val="single" w:color="000000" w:sz="6" w:space="0"/>
              <w:left w:val="single" w:color="000000" w:sz="6" w:space="0"/>
              <w:right w:val="single" w:color="000000" w:sz="6" w:space="0"/>
            </w:tcBorders>
            <w:vAlign w:val="center"/>
          </w:tcPr>
          <w:p>
            <w:pPr>
              <w:pStyle w:val="19"/>
              <w:rPr>
                <w:highlight w:val="none"/>
              </w:rPr>
            </w:pPr>
            <w:r>
              <w:rPr>
                <w:rFonts w:hint="eastAsia" w:ascii="宋体" w:cs="宋体"/>
                <w:highlight w:val="none"/>
              </w:rPr>
              <w:t>财政拨款</w:t>
            </w:r>
          </w:p>
        </w:tc>
      </w:tr>
    </w:tbl>
    <w:p>
      <w:pPr>
        <w:spacing w:before="10" w:after="10" w:line="360" w:lineRule="auto"/>
        <w:ind w:firstLine="640"/>
        <w:outlineLvl w:val="2"/>
        <w:rPr>
          <w:highlight w:val="none"/>
        </w:rPr>
      </w:pPr>
      <w:bookmarkStart w:id="10" w:name="_Toc30902876"/>
      <w:r>
        <w:rPr>
          <w:rFonts w:hint="eastAsia" w:ascii="黑体" w:eastAsia="黑体" w:cs="黑体"/>
          <w:color w:val="000000"/>
          <w:sz w:val="32"/>
          <w:highlight w:val="none"/>
        </w:rPr>
        <w:t>二、部门预算安排的总体情况</w:t>
      </w:r>
      <w:bookmarkEnd w:id="10"/>
    </w:p>
    <w:p>
      <w:pPr>
        <w:spacing w:line="500" w:lineRule="exact"/>
        <w:ind w:firstLine="560"/>
        <w:rPr>
          <w:highlight w:val="none"/>
        </w:rPr>
      </w:pPr>
      <w:r>
        <w:rPr>
          <w:rFonts w:hint="eastAsia" w:ascii="宋体" w:cs="宋体"/>
          <w:color w:val="000000"/>
          <w:sz w:val="28"/>
          <w:highlight w:val="none"/>
        </w:rPr>
        <w:t>按照预算管理有关规定，目前我省部门预算的编制实行综合预算管理，即全部收入和支出都反映在预算中。灵寿县青同镇人民政府机关及所属事业单位的收支包含在部门预算中。</w:t>
      </w:r>
    </w:p>
    <w:p>
      <w:pPr>
        <w:pStyle w:val="24"/>
        <w:rPr>
          <w:highlight w:val="none"/>
        </w:rPr>
      </w:pPr>
      <w:r>
        <w:rPr>
          <w:rFonts w:hint="eastAsia" w:ascii="宋体" w:cs="宋体"/>
          <w:highlight w:val="none"/>
        </w:rPr>
        <w:t>（一）收入情况</w:t>
      </w:r>
    </w:p>
    <w:p>
      <w:pPr>
        <w:pStyle w:val="24"/>
        <w:rPr>
          <w:highlight w:val="none"/>
        </w:rPr>
      </w:pPr>
      <w:r>
        <w:rPr>
          <w:rFonts w:hint="eastAsia" w:ascii="宋体" w:cs="宋体"/>
          <w:highlight w:val="none"/>
        </w:rPr>
        <w:t>反映本</w:t>
      </w:r>
      <w:r>
        <w:rPr>
          <w:rFonts w:hint="eastAsia" w:ascii="宋体" w:cs="宋体"/>
          <w:highlight w:val="none"/>
          <w:lang w:eastAsia="zh-CN"/>
        </w:rPr>
        <w:t>部门</w:t>
      </w:r>
      <w:r>
        <w:rPr>
          <w:rFonts w:hint="eastAsia" w:ascii="宋体" w:cs="宋体"/>
          <w:highlight w:val="none"/>
        </w:rPr>
        <w:t>当年全部收入。</w:t>
      </w:r>
      <w:r>
        <w:rPr>
          <w:highlight w:val="none"/>
        </w:rPr>
        <w:t>2022</w:t>
      </w:r>
      <w:r>
        <w:rPr>
          <w:rFonts w:hint="eastAsia" w:ascii="宋体" w:cs="宋体"/>
          <w:highlight w:val="none"/>
        </w:rPr>
        <w:t>年预算收入总计</w:t>
      </w:r>
      <w:r>
        <w:rPr>
          <w:highlight w:val="none"/>
        </w:rPr>
        <w:t>914.13</w:t>
      </w:r>
      <w:r>
        <w:rPr>
          <w:rFonts w:hint="eastAsia" w:ascii="宋体" w:cs="宋体"/>
          <w:highlight w:val="none"/>
        </w:rPr>
        <w:t>万元。其中，一般公共预算收入</w:t>
      </w:r>
      <w:r>
        <w:rPr>
          <w:highlight w:val="none"/>
        </w:rPr>
        <w:t>914.13</w:t>
      </w:r>
      <w:r>
        <w:rPr>
          <w:rFonts w:hint="eastAsia" w:ascii="宋体" w:cs="宋体"/>
          <w:highlight w:val="none"/>
        </w:rPr>
        <w:t>万元，政府性基金预算收入</w:t>
      </w:r>
      <w:r>
        <w:rPr>
          <w:highlight w:val="none"/>
        </w:rPr>
        <w:t>0</w:t>
      </w:r>
      <w:r>
        <w:rPr>
          <w:rFonts w:hint="eastAsia" w:ascii="宋体" w:cs="宋体"/>
          <w:highlight w:val="none"/>
        </w:rPr>
        <w:t>万元，国有资本经营预算收入</w:t>
      </w:r>
      <w:r>
        <w:rPr>
          <w:highlight w:val="none"/>
        </w:rPr>
        <w:t>0</w:t>
      </w:r>
      <w:r>
        <w:rPr>
          <w:rFonts w:hint="eastAsia" w:ascii="宋体" w:cs="宋体"/>
          <w:highlight w:val="none"/>
        </w:rPr>
        <w:t>万元，财政专户核拨收入</w:t>
      </w:r>
      <w:r>
        <w:rPr>
          <w:highlight w:val="none"/>
        </w:rPr>
        <w:t>0</w:t>
      </w:r>
      <w:r>
        <w:rPr>
          <w:rFonts w:hint="eastAsia" w:ascii="宋体" w:cs="宋体"/>
          <w:highlight w:val="none"/>
        </w:rPr>
        <w:t>万元，单位资金收入</w:t>
      </w:r>
      <w:r>
        <w:rPr>
          <w:highlight w:val="none"/>
        </w:rPr>
        <w:t>0</w:t>
      </w:r>
      <w:r>
        <w:rPr>
          <w:rFonts w:hint="eastAsia" w:ascii="宋体" w:cs="宋体"/>
          <w:highlight w:val="none"/>
        </w:rPr>
        <w:t>万元，上年结转结余</w:t>
      </w:r>
      <w:r>
        <w:rPr>
          <w:highlight w:val="none"/>
        </w:rPr>
        <w:t>0</w:t>
      </w:r>
      <w:r>
        <w:rPr>
          <w:rFonts w:hint="eastAsia" w:ascii="宋体" w:cs="宋体"/>
          <w:highlight w:val="none"/>
        </w:rPr>
        <w:t>万元。（二）支出情况</w:t>
      </w:r>
    </w:p>
    <w:p>
      <w:pPr>
        <w:pStyle w:val="24"/>
        <w:rPr>
          <w:highlight w:val="none"/>
        </w:rPr>
      </w:pPr>
      <w:r>
        <w:rPr>
          <w:rFonts w:hint="eastAsia" w:ascii="宋体" w:cs="宋体"/>
          <w:highlight w:val="none"/>
        </w:rPr>
        <w:t>收支预算总表支出栏、基本支出表、项目支出表按经济分类和支出功能分类科目编制，反映灵寿县青同镇人民政府本级年度单位预算中支出预算的总体情况。</w:t>
      </w:r>
      <w:r>
        <w:rPr>
          <w:highlight w:val="none"/>
        </w:rPr>
        <w:t>2022</w:t>
      </w:r>
      <w:r>
        <w:rPr>
          <w:rFonts w:hint="eastAsia" w:ascii="宋体" w:cs="宋体"/>
          <w:highlight w:val="none"/>
        </w:rPr>
        <w:t>年部门预算支出</w:t>
      </w:r>
      <w:r>
        <w:rPr>
          <w:highlight w:val="none"/>
        </w:rPr>
        <w:t>914.13</w:t>
      </w:r>
      <w:r>
        <w:rPr>
          <w:rFonts w:hint="eastAsia" w:ascii="宋体" w:cs="宋体"/>
          <w:highlight w:val="none"/>
        </w:rPr>
        <w:t>万元。基本支出</w:t>
      </w:r>
      <w:r>
        <w:rPr>
          <w:highlight w:val="none"/>
        </w:rPr>
        <w:t>733.21</w:t>
      </w:r>
      <w:r>
        <w:rPr>
          <w:rFonts w:hint="eastAsia" w:ascii="宋体" w:cs="宋体"/>
          <w:highlight w:val="none"/>
        </w:rPr>
        <w:t>万元，其中人员经费支出</w:t>
      </w:r>
      <w:r>
        <w:rPr>
          <w:highlight w:val="none"/>
        </w:rPr>
        <w:t>648.07</w:t>
      </w:r>
      <w:r>
        <w:rPr>
          <w:rFonts w:hint="eastAsia" w:ascii="宋体" w:cs="宋体"/>
          <w:highlight w:val="none"/>
        </w:rPr>
        <w:t>万元，日常公用经费</w:t>
      </w:r>
      <w:r>
        <w:rPr>
          <w:highlight w:val="none"/>
        </w:rPr>
        <w:t>85.14</w:t>
      </w:r>
      <w:r>
        <w:rPr>
          <w:rFonts w:hint="eastAsia" w:ascii="宋体" w:cs="宋体"/>
          <w:highlight w:val="none"/>
        </w:rPr>
        <w:t>万元；项目支出</w:t>
      </w:r>
      <w:r>
        <w:rPr>
          <w:highlight w:val="none"/>
        </w:rPr>
        <w:t>180.92</w:t>
      </w:r>
      <w:r>
        <w:rPr>
          <w:rFonts w:hint="eastAsia" w:ascii="宋体" w:cs="宋体"/>
          <w:highlight w:val="none"/>
        </w:rPr>
        <w:t>万元，包括：大气污染防治经费</w:t>
      </w:r>
      <w:r>
        <w:rPr>
          <w:highlight w:val="none"/>
        </w:rPr>
        <w:t>8</w:t>
      </w:r>
      <w:r>
        <w:rPr>
          <w:rFonts w:hint="eastAsia" w:ascii="宋体" w:cs="宋体"/>
          <w:highlight w:val="none"/>
        </w:rPr>
        <w:t>万元，防火经费</w:t>
      </w:r>
      <w:r>
        <w:rPr>
          <w:highlight w:val="none"/>
        </w:rPr>
        <w:t>2</w:t>
      </w:r>
      <w:r>
        <w:rPr>
          <w:rFonts w:hint="eastAsia" w:ascii="宋体" w:cs="宋体"/>
          <w:highlight w:val="none"/>
        </w:rPr>
        <w:t>万元，纪检巡查经费</w:t>
      </w:r>
      <w:r>
        <w:rPr>
          <w:highlight w:val="none"/>
        </w:rPr>
        <w:t>4</w:t>
      </w:r>
      <w:r>
        <w:rPr>
          <w:rFonts w:hint="eastAsia" w:ascii="宋体" w:cs="宋体"/>
          <w:highlight w:val="none"/>
        </w:rPr>
        <w:t>万元，妇联经费</w:t>
      </w:r>
      <w:r>
        <w:rPr>
          <w:highlight w:val="none"/>
        </w:rPr>
        <w:t>2</w:t>
      </w:r>
      <w:r>
        <w:rPr>
          <w:rFonts w:hint="eastAsia" w:ascii="宋体" w:cs="宋体"/>
          <w:highlight w:val="none"/>
        </w:rPr>
        <w:t>万元，民政经费</w:t>
      </w:r>
      <w:r>
        <w:rPr>
          <w:highlight w:val="none"/>
        </w:rPr>
        <w:t>2</w:t>
      </w:r>
      <w:r>
        <w:rPr>
          <w:rFonts w:hint="eastAsia" w:ascii="宋体" w:cs="宋体"/>
          <w:highlight w:val="none"/>
        </w:rPr>
        <w:t>万元，基层武装部规范化经济建设经费</w:t>
      </w:r>
      <w:r>
        <w:rPr>
          <w:highlight w:val="none"/>
        </w:rPr>
        <w:t>2</w:t>
      </w:r>
      <w:r>
        <w:rPr>
          <w:rFonts w:hint="eastAsia" w:ascii="宋体" w:cs="宋体"/>
          <w:highlight w:val="none"/>
        </w:rPr>
        <w:t>万元，</w:t>
      </w:r>
      <w:r>
        <w:rPr>
          <w:rFonts w:hint="eastAsia" w:ascii="宋体" w:cs="宋体"/>
          <w:highlight w:val="none"/>
          <w:lang w:eastAsia="zh-CN"/>
        </w:rPr>
        <w:t>党建</w:t>
      </w:r>
      <w:r>
        <w:rPr>
          <w:rFonts w:hint="eastAsia" w:ascii="宋体" w:cs="宋体"/>
          <w:highlight w:val="none"/>
        </w:rPr>
        <w:t>经费</w:t>
      </w:r>
      <w:r>
        <w:rPr>
          <w:highlight w:val="none"/>
        </w:rPr>
        <w:t>2</w:t>
      </w:r>
      <w:r>
        <w:rPr>
          <w:rFonts w:hint="eastAsia" w:ascii="宋体" w:cs="宋体"/>
          <w:highlight w:val="none"/>
        </w:rPr>
        <w:t>万元，团委经费</w:t>
      </w:r>
      <w:r>
        <w:rPr>
          <w:highlight w:val="none"/>
        </w:rPr>
        <w:t>2</w:t>
      </w:r>
      <w:r>
        <w:rPr>
          <w:rFonts w:hint="eastAsia" w:ascii="宋体" w:cs="宋体"/>
          <w:highlight w:val="none"/>
        </w:rPr>
        <w:t>万元，维稳经费</w:t>
      </w:r>
      <w:r>
        <w:rPr>
          <w:highlight w:val="none"/>
        </w:rPr>
        <w:t>5</w:t>
      </w:r>
      <w:r>
        <w:rPr>
          <w:rFonts w:hint="eastAsia" w:ascii="宋体" w:cs="宋体"/>
          <w:highlight w:val="none"/>
        </w:rPr>
        <w:t>万元，综治联防人员用工补贴经费</w:t>
      </w:r>
      <w:r>
        <w:rPr>
          <w:highlight w:val="none"/>
        </w:rPr>
        <w:t>25.92</w:t>
      </w:r>
      <w:r>
        <w:rPr>
          <w:rFonts w:hint="eastAsia" w:ascii="宋体" w:cs="宋体"/>
          <w:highlight w:val="none"/>
        </w:rPr>
        <w:t>万元</w:t>
      </w:r>
      <w:r>
        <w:rPr>
          <w:highlight w:val="none"/>
        </w:rPr>
        <w:t>,</w:t>
      </w:r>
      <w:r>
        <w:rPr>
          <w:rFonts w:hint="eastAsia" w:ascii="宋体" w:cs="宋体"/>
          <w:highlight w:val="none"/>
        </w:rPr>
        <w:t>行政综合服务中心执法经费</w:t>
      </w:r>
      <w:r>
        <w:rPr>
          <w:highlight w:val="none"/>
        </w:rPr>
        <w:t>30</w:t>
      </w:r>
      <w:r>
        <w:rPr>
          <w:rFonts w:hint="eastAsia" w:ascii="宋体" w:cs="宋体"/>
          <w:highlight w:val="none"/>
        </w:rPr>
        <w:t>万元，科普经费</w:t>
      </w:r>
      <w:r>
        <w:rPr>
          <w:highlight w:val="none"/>
        </w:rPr>
        <w:t>1</w:t>
      </w:r>
      <w:r>
        <w:rPr>
          <w:rFonts w:hint="eastAsia" w:ascii="宋体" w:cs="宋体"/>
          <w:highlight w:val="none"/>
        </w:rPr>
        <w:t>万元，服务群众专项经费</w:t>
      </w:r>
      <w:r>
        <w:rPr>
          <w:highlight w:val="none"/>
        </w:rPr>
        <w:t>95</w:t>
      </w:r>
      <w:r>
        <w:rPr>
          <w:rFonts w:hint="eastAsia" w:ascii="宋体" w:cs="宋体"/>
          <w:highlight w:val="none"/>
        </w:rPr>
        <w:t>万元，其他支出</w:t>
      </w:r>
      <w:r>
        <w:rPr>
          <w:highlight w:val="none"/>
        </w:rPr>
        <w:t>0</w:t>
      </w:r>
      <w:r>
        <w:rPr>
          <w:rFonts w:hint="eastAsia" w:ascii="宋体" w:cs="宋体"/>
          <w:highlight w:val="none"/>
        </w:rPr>
        <w:t>万元。</w:t>
      </w:r>
    </w:p>
    <w:p>
      <w:pPr>
        <w:pStyle w:val="24"/>
        <w:rPr>
          <w:highlight w:val="none"/>
        </w:rPr>
      </w:pPr>
      <w:r>
        <w:rPr>
          <w:rFonts w:hint="eastAsia" w:ascii="宋体" w:cs="宋体"/>
          <w:highlight w:val="none"/>
        </w:rPr>
        <w:t>（三）比上年增减情况</w:t>
      </w:r>
    </w:p>
    <w:p>
      <w:pPr>
        <w:pStyle w:val="24"/>
        <w:rPr>
          <w:highlight w:val="none"/>
        </w:rPr>
      </w:pPr>
      <w:r>
        <w:rPr>
          <w:highlight w:val="none"/>
        </w:rPr>
        <w:t>2022</w:t>
      </w:r>
      <w:r>
        <w:rPr>
          <w:rFonts w:hint="eastAsia" w:ascii="宋体" w:cs="宋体"/>
          <w:highlight w:val="none"/>
        </w:rPr>
        <w:t>年部门预算收支安排</w:t>
      </w:r>
      <w:r>
        <w:rPr>
          <w:highlight w:val="none"/>
        </w:rPr>
        <w:t>914.13</w:t>
      </w:r>
      <w:r>
        <w:rPr>
          <w:rFonts w:hint="eastAsia" w:ascii="宋体" w:cs="宋体"/>
          <w:highlight w:val="none"/>
        </w:rPr>
        <w:t>万元，较</w:t>
      </w:r>
      <w:r>
        <w:rPr>
          <w:highlight w:val="none"/>
          <w:lang w:eastAsia="zh-CN"/>
        </w:rPr>
        <w:t>2021</w:t>
      </w:r>
      <w:r>
        <w:rPr>
          <w:rFonts w:hint="eastAsia" w:ascii="宋体" w:cs="宋体"/>
          <w:highlight w:val="none"/>
          <w:lang w:eastAsia="zh-CN"/>
        </w:rPr>
        <w:t>年</w:t>
      </w:r>
      <w:r>
        <w:rPr>
          <w:rFonts w:hint="eastAsia" w:ascii="宋体" w:cs="宋体"/>
          <w:highlight w:val="none"/>
        </w:rPr>
        <w:t>减少</w:t>
      </w:r>
      <w:r>
        <w:rPr>
          <w:highlight w:val="none"/>
        </w:rPr>
        <w:t>61.98</w:t>
      </w:r>
      <w:r>
        <w:rPr>
          <w:rFonts w:hint="eastAsia" w:ascii="宋体" w:cs="宋体"/>
          <w:highlight w:val="none"/>
        </w:rPr>
        <w:t>万元，其中：基本支出增加</w:t>
      </w:r>
      <w:r>
        <w:rPr>
          <w:highlight w:val="none"/>
        </w:rPr>
        <w:t>62.06</w:t>
      </w:r>
      <w:r>
        <w:rPr>
          <w:rFonts w:hint="eastAsia" w:ascii="宋体" w:cs="宋体"/>
          <w:highlight w:val="none"/>
        </w:rPr>
        <w:t>万元，主要是人员增加，相应增加人员经费；日常公用经费测算标准变化，导致日常公用经费增加；项目</w:t>
      </w:r>
      <w:r>
        <w:rPr>
          <w:rFonts w:hint="eastAsia" w:ascii="宋体" w:cs="宋体"/>
          <w:highlight w:val="none"/>
          <w:lang w:eastAsia="zh-CN"/>
        </w:rPr>
        <w:t>支出</w:t>
      </w:r>
      <w:r>
        <w:rPr>
          <w:rFonts w:hint="eastAsia" w:ascii="宋体" w:cs="宋体"/>
          <w:highlight w:val="none"/>
        </w:rPr>
        <w:t>减少</w:t>
      </w:r>
      <w:r>
        <w:rPr>
          <w:highlight w:val="none"/>
        </w:rPr>
        <w:t>124.04</w:t>
      </w:r>
      <w:r>
        <w:rPr>
          <w:rFonts w:hint="eastAsia" w:ascii="宋体" w:cs="宋体"/>
          <w:highlight w:val="none"/>
        </w:rPr>
        <w:t>万元，主要是</w:t>
      </w:r>
      <w:r>
        <w:rPr>
          <w:rFonts w:hint="eastAsia" w:ascii="宋体" w:cs="宋体"/>
          <w:highlight w:val="none"/>
          <w:lang w:eastAsia="zh-CN"/>
        </w:rPr>
        <w:t>取消</w:t>
      </w:r>
      <w:r>
        <w:rPr>
          <w:rFonts w:hint="eastAsia" w:ascii="宋体" w:cs="宋体"/>
          <w:highlight w:val="none"/>
        </w:rPr>
        <w:t>农村环境卫生长效保洁机制经费。</w:t>
      </w:r>
    </w:p>
    <w:p>
      <w:pPr>
        <w:spacing w:before="250" w:line="360" w:lineRule="auto"/>
        <w:ind w:firstLine="641"/>
        <w:outlineLvl w:val="2"/>
        <w:rPr>
          <w:highlight w:val="none"/>
        </w:rPr>
      </w:pPr>
      <w:bookmarkStart w:id="11" w:name="_Toc30902877"/>
      <w:r>
        <w:rPr>
          <w:rFonts w:hint="eastAsia" w:ascii="黑体" w:eastAsia="黑体" w:cs="黑体"/>
          <w:color w:val="000000"/>
          <w:sz w:val="32"/>
          <w:highlight w:val="none"/>
        </w:rPr>
        <w:t>三、机关运行经费安排情况</w:t>
      </w:r>
      <w:bookmarkEnd w:id="11"/>
    </w:p>
    <w:p>
      <w:pPr>
        <w:spacing w:line="500" w:lineRule="exact"/>
        <w:ind w:firstLine="560" w:firstLineChars="200"/>
        <w:rPr>
          <w:rFonts w:eastAsia="Times New Roman"/>
          <w:sz w:val="28"/>
          <w:highlight w:val="none"/>
        </w:rPr>
      </w:pPr>
      <w:r>
        <w:rPr>
          <w:rFonts w:eastAsia="Times New Roman"/>
          <w:sz w:val="28"/>
          <w:highlight w:val="none"/>
        </w:rPr>
        <w:t>202</w:t>
      </w:r>
      <w:r>
        <w:rPr>
          <w:rFonts w:eastAsia="Times New Roman"/>
          <w:sz w:val="28"/>
          <w:highlight w:val="none"/>
          <w:lang w:eastAsia="zh-CN"/>
        </w:rPr>
        <w:t>2</w:t>
      </w:r>
      <w:r>
        <w:rPr>
          <w:rFonts w:eastAsia="Times New Roman" w:cs="宋体"/>
          <w:sz w:val="28"/>
          <w:highlight w:val="none"/>
        </w:rPr>
        <w:t>年，我部门机关运行经费共计安排</w:t>
      </w:r>
      <w:r>
        <w:rPr>
          <w:rFonts w:eastAsia="Times New Roman"/>
          <w:sz w:val="28"/>
          <w:highlight w:val="none"/>
          <w:lang w:eastAsia="zh-CN"/>
        </w:rPr>
        <w:t>85.14</w:t>
      </w:r>
      <w:r>
        <w:rPr>
          <w:rFonts w:eastAsia="Times New Roman" w:cs="宋体"/>
          <w:sz w:val="28"/>
          <w:highlight w:val="none"/>
        </w:rPr>
        <w:t>万元，主要用于保证机关正常运转的办公及印刷费、邮电费、差旅费、劳务费、福利费、工会费、办公设备购置费、办公用房水电费、办公用房取暖费、日常维修费、公务车运行维护费等支出。</w:t>
      </w:r>
    </w:p>
    <w:p>
      <w:pPr>
        <w:pStyle w:val="25"/>
        <w:ind w:firstLine="0"/>
        <w:rPr>
          <w:highlight w:val="none"/>
        </w:rPr>
      </w:pPr>
    </w:p>
    <w:p>
      <w:pPr>
        <w:spacing w:before="10" w:after="10" w:line="360" w:lineRule="auto"/>
        <w:ind w:firstLine="640"/>
        <w:outlineLvl w:val="2"/>
        <w:rPr>
          <w:highlight w:val="none"/>
        </w:rPr>
      </w:pPr>
      <w:bookmarkStart w:id="12" w:name="_Toc30902878"/>
      <w:r>
        <w:rPr>
          <w:rFonts w:hint="eastAsia" w:ascii="黑体" w:eastAsia="黑体" w:cs="黑体"/>
          <w:color w:val="000000"/>
          <w:sz w:val="32"/>
          <w:highlight w:val="none"/>
        </w:rPr>
        <w:t>四、财政拨款“三公”经费预算情况及增减变化原因</w:t>
      </w:r>
      <w:bookmarkEnd w:id="12"/>
    </w:p>
    <w:p>
      <w:pPr>
        <w:spacing w:line="500" w:lineRule="exact"/>
        <w:ind w:firstLine="560" w:firstLineChars="200"/>
        <w:rPr>
          <w:rFonts w:eastAsia="Times New Roman" w:cs="宋体"/>
          <w:sz w:val="28"/>
          <w:highlight w:val="none"/>
        </w:rPr>
      </w:pPr>
      <w:r>
        <w:rPr>
          <w:rFonts w:eastAsia="Times New Roman"/>
          <w:sz w:val="28"/>
          <w:highlight w:val="none"/>
          <w:lang w:eastAsia="zh-CN"/>
        </w:rPr>
        <w:t>202</w:t>
      </w:r>
      <w:r>
        <w:rPr>
          <w:sz w:val="28"/>
          <w:highlight w:val="none"/>
          <w:lang w:eastAsia="zh-CN"/>
        </w:rPr>
        <w:t>2</w:t>
      </w:r>
      <w:r>
        <w:rPr>
          <w:rFonts w:eastAsia="Times New Roman" w:cs="宋体"/>
          <w:sz w:val="28"/>
          <w:highlight w:val="none"/>
        </w:rPr>
        <w:t>年，我部门财政拨款</w:t>
      </w:r>
      <w:r>
        <w:rPr>
          <w:rFonts w:eastAsia="Times New Roman"/>
          <w:sz w:val="28"/>
          <w:highlight w:val="none"/>
        </w:rPr>
        <w:t>“</w:t>
      </w:r>
      <w:r>
        <w:rPr>
          <w:rFonts w:eastAsia="Times New Roman" w:cs="宋体"/>
          <w:sz w:val="28"/>
          <w:highlight w:val="none"/>
        </w:rPr>
        <w:t>三公</w:t>
      </w:r>
      <w:r>
        <w:rPr>
          <w:rFonts w:eastAsia="Times New Roman"/>
          <w:sz w:val="28"/>
          <w:highlight w:val="none"/>
        </w:rPr>
        <w:t>”</w:t>
      </w:r>
      <w:r>
        <w:rPr>
          <w:rFonts w:eastAsia="Times New Roman" w:cs="宋体"/>
          <w:sz w:val="28"/>
          <w:highlight w:val="none"/>
        </w:rPr>
        <w:t>经费预算安排</w:t>
      </w:r>
      <w:r>
        <w:rPr>
          <w:rFonts w:eastAsia="Times New Roman"/>
          <w:sz w:val="28"/>
          <w:highlight w:val="none"/>
        </w:rPr>
        <w:t>3</w:t>
      </w:r>
      <w:r>
        <w:rPr>
          <w:rFonts w:eastAsia="Times New Roman" w:cs="宋体"/>
          <w:sz w:val="28"/>
          <w:highlight w:val="none"/>
        </w:rPr>
        <w:t>万元，与上年持平，无增减变化。其中：因公出国（境）费</w:t>
      </w:r>
      <w:r>
        <w:rPr>
          <w:rFonts w:eastAsia="Times New Roman"/>
          <w:sz w:val="28"/>
          <w:highlight w:val="none"/>
        </w:rPr>
        <w:t>0</w:t>
      </w:r>
      <w:r>
        <w:rPr>
          <w:rFonts w:eastAsia="Times New Roman" w:cs="宋体"/>
          <w:sz w:val="28"/>
          <w:highlight w:val="none"/>
        </w:rPr>
        <w:t>万元，与上年持平，无增减变化；公务用车购置费</w:t>
      </w:r>
      <w:r>
        <w:rPr>
          <w:rFonts w:eastAsia="Times New Roman"/>
          <w:sz w:val="28"/>
          <w:highlight w:val="none"/>
        </w:rPr>
        <w:t>0</w:t>
      </w:r>
      <w:r>
        <w:rPr>
          <w:rFonts w:eastAsia="Times New Roman" w:cs="宋体"/>
          <w:sz w:val="28"/>
          <w:highlight w:val="none"/>
        </w:rPr>
        <w:t>万元，与上年持平，无增减变化；公务用车运行维护费</w:t>
      </w:r>
      <w:r>
        <w:rPr>
          <w:rFonts w:eastAsia="Times New Roman"/>
          <w:sz w:val="28"/>
          <w:highlight w:val="none"/>
        </w:rPr>
        <w:t>3</w:t>
      </w:r>
      <w:r>
        <w:rPr>
          <w:rFonts w:eastAsia="Times New Roman" w:cs="宋体"/>
          <w:sz w:val="28"/>
          <w:highlight w:val="none"/>
        </w:rPr>
        <w:t>万元，与上年持平，无增减变化；公务接待费</w:t>
      </w:r>
      <w:r>
        <w:rPr>
          <w:rFonts w:eastAsia="Times New Roman"/>
          <w:sz w:val="28"/>
          <w:highlight w:val="none"/>
        </w:rPr>
        <w:t>0</w:t>
      </w:r>
      <w:r>
        <w:rPr>
          <w:rFonts w:eastAsia="Times New Roman" w:cs="宋体"/>
          <w:sz w:val="28"/>
          <w:highlight w:val="none"/>
        </w:rPr>
        <w:t>万元，与上年持平，无增减变化。</w:t>
      </w:r>
    </w:p>
    <w:p>
      <w:pPr>
        <w:spacing w:line="500" w:lineRule="exact"/>
        <w:ind w:firstLine="560" w:firstLineChars="200"/>
        <w:rPr>
          <w:rFonts w:eastAsia="Times New Roman" w:cs="宋体"/>
          <w:sz w:val="28"/>
          <w:highlight w:val="none"/>
        </w:rPr>
      </w:pPr>
    </w:p>
    <w:p>
      <w:pPr>
        <w:spacing w:before="10" w:after="10" w:line="360" w:lineRule="auto"/>
        <w:ind w:firstLine="640"/>
        <w:outlineLvl w:val="2"/>
        <w:rPr>
          <w:highlight w:val="none"/>
        </w:rPr>
      </w:pPr>
      <w:bookmarkStart w:id="13" w:name="_Toc30902879"/>
      <w:r>
        <w:rPr>
          <w:rFonts w:hint="eastAsia" w:ascii="黑体" w:eastAsia="黑体" w:cs="黑体"/>
          <w:color w:val="000000"/>
          <w:sz w:val="32"/>
          <w:highlight w:val="none"/>
        </w:rPr>
        <w:t>五、预算绩效信息</w:t>
      </w:r>
      <w:bookmarkEnd w:id="13"/>
    </w:p>
    <w:p>
      <w:pPr>
        <w:ind w:firstLine="640"/>
        <w:rPr>
          <w:highlight w:val="none"/>
        </w:rPr>
      </w:pPr>
      <w:r>
        <w:rPr>
          <w:rFonts w:hint="eastAsia" w:ascii="宋体" w:cs="宋体"/>
          <w:b/>
          <w:color w:val="000000"/>
          <w:sz w:val="32"/>
          <w:highlight w:val="none"/>
        </w:rPr>
        <w:t>第一部分</w:t>
      </w:r>
      <w:r>
        <w:rPr>
          <w:rFonts w:ascii="????_GBK" w:hAnsi="????_GBK" w:cs="????_GBK"/>
          <w:b/>
          <w:color w:val="000000"/>
          <w:sz w:val="32"/>
          <w:highlight w:val="none"/>
        </w:rPr>
        <w:t xml:space="preserve"> </w:t>
      </w:r>
      <w:r>
        <w:rPr>
          <w:rFonts w:hint="eastAsia" w:ascii="宋体" w:cs="宋体"/>
          <w:b/>
          <w:color w:val="000000"/>
          <w:sz w:val="32"/>
          <w:highlight w:val="none"/>
        </w:rPr>
        <w:t>部门整体绩效目标</w:t>
      </w:r>
    </w:p>
    <w:p>
      <w:pPr>
        <w:spacing w:line="500" w:lineRule="exact"/>
        <w:ind w:firstLine="560"/>
        <w:rPr>
          <w:highlight w:val="none"/>
        </w:rPr>
      </w:pPr>
      <w:r>
        <w:rPr>
          <w:rFonts w:hint="eastAsia" w:ascii="宋体" w:cs="宋体"/>
          <w:color w:val="000000"/>
          <w:sz w:val="28"/>
          <w:highlight w:val="none"/>
        </w:rPr>
        <w:t>（一）总体绩效目标</w:t>
      </w:r>
    </w:p>
    <w:p>
      <w:pPr>
        <w:pStyle w:val="27"/>
        <w:rPr>
          <w:highlight w:val="none"/>
        </w:rPr>
      </w:pPr>
      <w:r>
        <w:rPr>
          <w:rFonts w:hint="eastAsia" w:ascii="宋体" w:cs="宋体"/>
          <w:highlight w:val="none"/>
        </w:rPr>
        <w:t>做好环境保护、森林防火、安全生产、防汛、安保、民生保障等各方面工作，围绕打造</w:t>
      </w:r>
      <w:r>
        <w:rPr>
          <w:highlight w:val="none"/>
        </w:rPr>
        <w:t>“</w:t>
      </w:r>
      <w:r>
        <w:rPr>
          <w:rFonts w:hint="eastAsia" w:ascii="宋体" w:cs="宋体"/>
          <w:highlight w:val="none"/>
        </w:rPr>
        <w:t>生态宜居、物流商贸、产业聚集</w:t>
      </w:r>
      <w:r>
        <w:rPr>
          <w:highlight w:val="none"/>
        </w:rPr>
        <w:t>”</w:t>
      </w:r>
      <w:r>
        <w:rPr>
          <w:rFonts w:hint="eastAsia" w:ascii="宋体" w:cs="宋体"/>
          <w:highlight w:val="none"/>
        </w:rPr>
        <w:t>中心城镇目标，确保上级各项政策措施在青同镇落地见效，实现青同镇高标准、高质量、高水平发展。继续深化改革创新，防范化解重大风险，加强作风建设，积极进取、奋发有为，努力开创新时代青同镇全面工作的新局面。</w:t>
      </w:r>
    </w:p>
    <w:p>
      <w:pPr>
        <w:spacing w:line="500" w:lineRule="exact"/>
        <w:ind w:firstLine="560"/>
        <w:rPr>
          <w:highlight w:val="none"/>
        </w:rPr>
      </w:pPr>
      <w:r>
        <w:rPr>
          <w:rFonts w:hint="eastAsia" w:ascii="宋体" w:cs="宋体"/>
          <w:color w:val="000000"/>
          <w:sz w:val="28"/>
          <w:highlight w:val="none"/>
        </w:rPr>
        <w:t>（二）分项绩效目标</w:t>
      </w:r>
    </w:p>
    <w:p>
      <w:pPr>
        <w:pStyle w:val="28"/>
        <w:rPr>
          <w:highlight w:val="none"/>
        </w:rPr>
      </w:pPr>
      <w:r>
        <w:rPr>
          <w:highlight w:val="none"/>
          <w:lang w:eastAsia="zh-CN"/>
        </w:rPr>
        <w:t>1.</w:t>
      </w:r>
      <w:r>
        <w:rPr>
          <w:rFonts w:hint="eastAsia" w:ascii="宋体" w:cs="宋体"/>
          <w:highlight w:val="none"/>
        </w:rPr>
        <w:t>高质量推进</w:t>
      </w:r>
      <w:r>
        <w:rPr>
          <w:highlight w:val="none"/>
        </w:rPr>
        <w:t>“</w:t>
      </w:r>
      <w:r>
        <w:rPr>
          <w:rFonts w:hint="eastAsia" w:ascii="宋体" w:cs="宋体"/>
          <w:highlight w:val="none"/>
        </w:rPr>
        <w:t>不忘初心</w:t>
      </w:r>
      <w:r>
        <w:rPr>
          <w:rFonts w:ascii="宋体" w:cs="宋体"/>
          <w:highlight w:val="none"/>
        </w:rPr>
        <w:t>、</w:t>
      </w:r>
      <w:r>
        <w:rPr>
          <w:rFonts w:hint="eastAsia" w:ascii="宋体" w:cs="宋体"/>
          <w:highlight w:val="none"/>
        </w:rPr>
        <w:t>牢记使命</w:t>
      </w:r>
      <w:r>
        <w:rPr>
          <w:highlight w:val="none"/>
        </w:rPr>
        <w:t>“</w:t>
      </w:r>
      <w:r>
        <w:rPr>
          <w:rFonts w:hint="eastAsia" w:ascii="宋体" w:cs="宋体"/>
          <w:highlight w:val="none"/>
        </w:rPr>
        <w:t>主题教育，狠抓基层组织建设。</w:t>
      </w:r>
    </w:p>
    <w:p>
      <w:pPr>
        <w:pStyle w:val="28"/>
        <w:rPr>
          <w:highlight w:val="none"/>
        </w:rPr>
      </w:pPr>
      <w:r>
        <w:rPr>
          <w:rFonts w:hint="eastAsia" w:ascii="宋体" w:cs="宋体"/>
          <w:highlight w:val="none"/>
        </w:rPr>
        <w:t>绩效目标：全镇</w:t>
      </w:r>
      <w:r>
        <w:rPr>
          <w:highlight w:val="none"/>
        </w:rPr>
        <w:t>19</w:t>
      </w:r>
      <w:r>
        <w:rPr>
          <w:rFonts w:hint="eastAsia" w:ascii="宋体" w:cs="宋体"/>
          <w:highlight w:val="none"/>
        </w:rPr>
        <w:t>个村继续开展三会一课，党建年会等党组织活动，并保证党员参会率，提升党员素养。</w:t>
      </w:r>
    </w:p>
    <w:p>
      <w:pPr>
        <w:pStyle w:val="28"/>
        <w:rPr>
          <w:highlight w:val="none"/>
        </w:rPr>
      </w:pPr>
      <w:r>
        <w:rPr>
          <w:rFonts w:hint="eastAsia" w:ascii="宋体" w:cs="宋体"/>
          <w:highlight w:val="none"/>
        </w:rPr>
        <w:t>绩效指标：全镇</w:t>
      </w:r>
      <w:r>
        <w:rPr>
          <w:highlight w:val="none"/>
        </w:rPr>
        <w:t>19</w:t>
      </w:r>
      <w:r>
        <w:rPr>
          <w:rFonts w:hint="eastAsia" w:ascii="宋体" w:cs="宋体"/>
          <w:highlight w:val="none"/>
        </w:rPr>
        <w:t>个村每个党支部在</w:t>
      </w:r>
      <w:r>
        <w:rPr>
          <w:highlight w:val="none"/>
        </w:rPr>
        <w:t>2</w:t>
      </w:r>
      <w:r>
        <w:rPr>
          <w:rFonts w:hint="eastAsia" w:ascii="宋体" w:cs="宋体"/>
          <w:highlight w:val="none"/>
        </w:rPr>
        <w:t>月前开展党建年会，每季度至少召开一次党员大会、上一次党课，每月至少召开一次党小组会、党支部会。</w:t>
      </w:r>
    </w:p>
    <w:p>
      <w:pPr>
        <w:pStyle w:val="28"/>
        <w:rPr>
          <w:highlight w:val="none"/>
        </w:rPr>
      </w:pPr>
      <w:r>
        <w:rPr>
          <w:highlight w:val="none"/>
          <w:lang w:eastAsia="zh-CN"/>
        </w:rPr>
        <w:t>2.</w:t>
      </w:r>
      <w:r>
        <w:rPr>
          <w:rFonts w:hint="eastAsia" w:ascii="宋体" w:cs="宋体"/>
          <w:highlight w:val="none"/>
        </w:rPr>
        <w:t>充分发挥部门职能，做好社保、民政、安全生产等民生保障工作。</w:t>
      </w:r>
    </w:p>
    <w:p>
      <w:pPr>
        <w:pStyle w:val="28"/>
        <w:rPr>
          <w:highlight w:val="none"/>
        </w:rPr>
      </w:pPr>
      <w:r>
        <w:rPr>
          <w:rFonts w:hint="eastAsia" w:ascii="宋体" w:cs="宋体"/>
          <w:highlight w:val="none"/>
        </w:rPr>
        <w:t>绩效目标：优化部门职能，完善各项制度，落实上级政策，保障民生。</w:t>
      </w:r>
    </w:p>
    <w:p>
      <w:pPr>
        <w:pStyle w:val="28"/>
        <w:rPr>
          <w:highlight w:val="none"/>
        </w:rPr>
      </w:pPr>
      <w:r>
        <w:rPr>
          <w:rFonts w:hint="eastAsia" w:ascii="宋体" w:cs="宋体"/>
          <w:highlight w:val="none"/>
        </w:rPr>
        <w:t>绩效指标：提高社保参保率，使广大村民医疗、养老更有保障。入户核查困难残疾人、重度残疾人、低保户、五保户，保证</w:t>
      </w:r>
      <w:r>
        <w:rPr>
          <w:highlight w:val="none"/>
        </w:rPr>
        <w:t>95%</w:t>
      </w:r>
      <w:r>
        <w:rPr>
          <w:rFonts w:hint="eastAsia" w:ascii="宋体" w:cs="宋体"/>
          <w:highlight w:val="none"/>
        </w:rPr>
        <w:t>以上该享受人员享受困难补贴，使得困难群众生活水平有所提升。严抓安全生产，确保不发生重大安全事故。</w:t>
      </w:r>
    </w:p>
    <w:p>
      <w:pPr>
        <w:pStyle w:val="28"/>
        <w:rPr>
          <w:highlight w:val="none"/>
        </w:rPr>
      </w:pPr>
      <w:r>
        <w:rPr>
          <w:highlight w:val="none"/>
          <w:lang w:eastAsia="zh-CN"/>
        </w:rPr>
        <w:t>3.</w:t>
      </w:r>
      <w:r>
        <w:rPr>
          <w:rFonts w:hint="eastAsia" w:ascii="宋体" w:cs="宋体"/>
          <w:highlight w:val="none"/>
        </w:rPr>
        <w:t>扎实推进扶贫脱贫工作，坚持</w:t>
      </w:r>
      <w:r>
        <w:rPr>
          <w:highlight w:val="none"/>
        </w:rPr>
        <w:t>“</w:t>
      </w:r>
      <w:r>
        <w:rPr>
          <w:rFonts w:hint="eastAsia" w:ascii="宋体" w:cs="宋体"/>
          <w:highlight w:val="none"/>
        </w:rPr>
        <w:t>四个不摘</w:t>
      </w:r>
      <w:r>
        <w:rPr>
          <w:highlight w:val="none"/>
        </w:rPr>
        <w:t>”</w:t>
      </w:r>
      <w:r>
        <w:rPr>
          <w:rFonts w:hint="eastAsia" w:ascii="宋体" w:cs="宋体"/>
          <w:highlight w:val="none"/>
        </w:rPr>
        <w:t>，强化脱贫防贫机制建设。</w:t>
      </w:r>
    </w:p>
    <w:p>
      <w:pPr>
        <w:pStyle w:val="28"/>
        <w:rPr>
          <w:highlight w:val="none"/>
        </w:rPr>
      </w:pPr>
      <w:r>
        <w:rPr>
          <w:rFonts w:hint="eastAsia" w:ascii="宋体" w:cs="宋体"/>
          <w:highlight w:val="none"/>
        </w:rPr>
        <w:t>绩效目标：以</w:t>
      </w:r>
      <w:r>
        <w:rPr>
          <w:highlight w:val="none"/>
        </w:rPr>
        <w:t>“</w:t>
      </w:r>
      <w:r>
        <w:rPr>
          <w:rFonts w:hint="eastAsia" w:ascii="宋体" w:cs="宋体"/>
          <w:highlight w:val="none"/>
        </w:rPr>
        <w:t>两不愁三保障</w:t>
      </w:r>
      <w:r>
        <w:rPr>
          <w:highlight w:val="none"/>
        </w:rPr>
        <w:t>”</w:t>
      </w:r>
      <w:r>
        <w:rPr>
          <w:rFonts w:hint="eastAsia" w:ascii="宋体" w:cs="宋体"/>
          <w:highlight w:val="none"/>
        </w:rPr>
        <w:t>为重点，加强脱贫人口监测。确保贫困群众持续增收。</w:t>
      </w:r>
    </w:p>
    <w:p>
      <w:pPr>
        <w:pStyle w:val="28"/>
        <w:rPr>
          <w:highlight w:val="none"/>
        </w:rPr>
      </w:pPr>
      <w:r>
        <w:rPr>
          <w:rFonts w:hint="eastAsia" w:ascii="宋体" w:cs="宋体"/>
          <w:highlight w:val="none"/>
        </w:rPr>
        <w:t>绩效指标：脱贫户年人均纯收入达到</w:t>
      </w:r>
      <w:r>
        <w:rPr>
          <w:highlight w:val="none"/>
        </w:rPr>
        <w:t>4200</w:t>
      </w:r>
      <w:r>
        <w:rPr>
          <w:rFonts w:hint="eastAsia" w:ascii="宋体" w:cs="宋体"/>
          <w:highlight w:val="none"/>
        </w:rPr>
        <w:t>元以上，全镇建档立卡系统贫困户安全住房保障率</w:t>
      </w:r>
      <w:r>
        <w:rPr>
          <w:highlight w:val="none"/>
        </w:rPr>
        <w:t>100%</w:t>
      </w:r>
      <w:r>
        <w:rPr>
          <w:rFonts w:hint="eastAsia" w:ascii="宋体" w:cs="宋体"/>
          <w:highlight w:val="none"/>
        </w:rPr>
        <w:t>、城乡居民基本医疗保险保障参保率</w:t>
      </w:r>
      <w:r>
        <w:rPr>
          <w:highlight w:val="none"/>
        </w:rPr>
        <w:t>100%</w:t>
      </w:r>
      <w:r>
        <w:rPr>
          <w:rFonts w:hint="eastAsia" w:ascii="宋体" w:cs="宋体"/>
          <w:highlight w:val="none"/>
        </w:rPr>
        <w:t>、义务教育阶段无辍学学生。</w:t>
      </w:r>
    </w:p>
    <w:p>
      <w:pPr>
        <w:pStyle w:val="28"/>
        <w:rPr>
          <w:highlight w:val="none"/>
        </w:rPr>
      </w:pPr>
      <w:r>
        <w:rPr>
          <w:highlight w:val="none"/>
          <w:lang w:eastAsia="zh-CN"/>
        </w:rPr>
        <w:t>4.</w:t>
      </w:r>
      <w:r>
        <w:rPr>
          <w:rFonts w:hint="eastAsia" w:ascii="宋体" w:cs="宋体"/>
          <w:highlight w:val="none"/>
        </w:rPr>
        <w:t>做好环保工作，守护碧水蓝天，加强生态文明建设。</w:t>
      </w:r>
    </w:p>
    <w:p>
      <w:pPr>
        <w:pStyle w:val="28"/>
        <w:rPr>
          <w:highlight w:val="none"/>
        </w:rPr>
      </w:pPr>
      <w:r>
        <w:rPr>
          <w:rFonts w:hint="eastAsia" w:ascii="宋体" w:cs="宋体"/>
          <w:highlight w:val="none"/>
        </w:rPr>
        <w:t>绩效目标：排查、治理污染企业，管控散煤复燃，降低污染物排放总量，增加全年空气优良天数。</w:t>
      </w:r>
    </w:p>
    <w:p>
      <w:pPr>
        <w:pStyle w:val="28"/>
        <w:rPr>
          <w:highlight w:val="none"/>
        </w:rPr>
      </w:pPr>
      <w:r>
        <w:rPr>
          <w:rFonts w:hint="eastAsia" w:ascii="宋体" w:cs="宋体"/>
          <w:highlight w:val="none"/>
        </w:rPr>
        <w:t>绩效指标：排查全镇污染企业、治理污染企业</w:t>
      </w:r>
      <w:r>
        <w:rPr>
          <w:highlight w:val="none"/>
        </w:rPr>
        <w:t>10</w:t>
      </w:r>
      <w:r>
        <w:rPr>
          <w:rFonts w:hint="eastAsia" w:ascii="宋体" w:cs="宋体"/>
          <w:highlight w:val="none"/>
        </w:rPr>
        <w:t>个以上，管控全镇</w:t>
      </w:r>
      <w:r>
        <w:rPr>
          <w:highlight w:val="none"/>
        </w:rPr>
        <w:t>19</w:t>
      </w:r>
      <w:r>
        <w:rPr>
          <w:rFonts w:hint="eastAsia" w:ascii="宋体" w:cs="宋体"/>
          <w:highlight w:val="none"/>
        </w:rPr>
        <w:t>个村散煤复燃，增加全年空气优良天数</w:t>
      </w:r>
      <w:r>
        <w:rPr>
          <w:highlight w:val="none"/>
        </w:rPr>
        <w:t>20</w:t>
      </w:r>
      <w:r>
        <w:rPr>
          <w:rFonts w:hint="eastAsia" w:ascii="宋体" w:cs="宋体"/>
          <w:highlight w:val="none"/>
        </w:rPr>
        <w:t>天。</w:t>
      </w:r>
    </w:p>
    <w:p>
      <w:pPr>
        <w:pStyle w:val="28"/>
        <w:rPr>
          <w:highlight w:val="none"/>
        </w:rPr>
      </w:pPr>
      <w:r>
        <w:rPr>
          <w:highlight w:val="none"/>
          <w:lang w:eastAsia="zh-CN"/>
        </w:rPr>
        <w:t>5.</w:t>
      </w:r>
      <w:r>
        <w:rPr>
          <w:rFonts w:hint="eastAsia" w:ascii="宋体" w:cs="宋体"/>
          <w:highlight w:val="none"/>
        </w:rPr>
        <w:t>严格按照</w:t>
      </w:r>
      <w:r>
        <w:rPr>
          <w:highlight w:val="none"/>
        </w:rPr>
        <w:t>“</w:t>
      </w:r>
      <w:r>
        <w:rPr>
          <w:rFonts w:hint="eastAsia" w:ascii="宋体" w:cs="宋体"/>
          <w:highlight w:val="none"/>
        </w:rPr>
        <w:t>北京不能去、河北不能聚、网上不能炒</w:t>
      </w:r>
      <w:r>
        <w:rPr>
          <w:highlight w:val="none"/>
        </w:rPr>
        <w:t>”</w:t>
      </w:r>
      <w:r>
        <w:rPr>
          <w:rFonts w:hint="eastAsia" w:ascii="宋体" w:cs="宋体"/>
          <w:highlight w:val="none"/>
        </w:rPr>
        <w:t>的要求持续抓好信访稳定工作。</w:t>
      </w:r>
    </w:p>
    <w:p>
      <w:pPr>
        <w:pStyle w:val="28"/>
        <w:rPr>
          <w:highlight w:val="none"/>
        </w:rPr>
      </w:pPr>
      <w:r>
        <w:rPr>
          <w:rFonts w:hint="eastAsia" w:ascii="宋体" w:cs="宋体"/>
          <w:highlight w:val="none"/>
        </w:rPr>
        <w:t>绩效目标：提高我镇综合维稳工作水平，确保我镇信访任务完成率达</w:t>
      </w:r>
      <w:r>
        <w:rPr>
          <w:highlight w:val="none"/>
        </w:rPr>
        <w:t>90%</w:t>
      </w:r>
      <w:r>
        <w:rPr>
          <w:rFonts w:hint="eastAsia" w:ascii="宋体" w:cs="宋体"/>
          <w:highlight w:val="none"/>
        </w:rPr>
        <w:t>以上，营造和谐稳定的社会环境；保证我镇居民对越级上访造成后果的了解程度有所提高。</w:t>
      </w:r>
    </w:p>
    <w:p>
      <w:pPr>
        <w:pStyle w:val="28"/>
        <w:rPr>
          <w:highlight w:val="none"/>
        </w:rPr>
      </w:pPr>
      <w:r>
        <w:rPr>
          <w:rFonts w:hint="eastAsia" w:ascii="宋体" w:cs="宋体"/>
          <w:highlight w:val="none"/>
        </w:rPr>
        <w:t>绩效指标：重大信访事务完成率达</w:t>
      </w:r>
      <w:r>
        <w:rPr>
          <w:highlight w:val="none"/>
        </w:rPr>
        <w:t>90%</w:t>
      </w:r>
      <w:r>
        <w:rPr>
          <w:rFonts w:hint="eastAsia" w:ascii="宋体" w:cs="宋体"/>
          <w:highlight w:val="none"/>
        </w:rPr>
        <w:t>以上，重大时期，矛盾纠纷调解率达</w:t>
      </w:r>
      <w:r>
        <w:rPr>
          <w:highlight w:val="none"/>
        </w:rPr>
        <w:t>90%</w:t>
      </w:r>
      <w:r>
        <w:rPr>
          <w:rFonts w:hint="eastAsia" w:ascii="宋体" w:cs="宋体"/>
          <w:highlight w:val="none"/>
        </w:rPr>
        <w:t>以上，确保</w:t>
      </w:r>
      <w:r>
        <w:rPr>
          <w:highlight w:val="none"/>
        </w:rPr>
        <w:t>0</w:t>
      </w:r>
      <w:r>
        <w:rPr>
          <w:rFonts w:hint="eastAsia" w:ascii="宋体" w:cs="宋体"/>
          <w:highlight w:val="none"/>
        </w:rPr>
        <w:t>上访率，使全镇居民对越级上访所造成后果的了解有所提高。</w:t>
      </w:r>
    </w:p>
    <w:p>
      <w:pPr>
        <w:pStyle w:val="28"/>
        <w:rPr>
          <w:highlight w:val="none"/>
        </w:rPr>
      </w:pPr>
      <w:r>
        <w:rPr>
          <w:highlight w:val="none"/>
          <w:lang w:eastAsia="zh-CN"/>
        </w:rPr>
        <w:t>6.</w:t>
      </w:r>
      <w:r>
        <w:rPr>
          <w:rFonts w:hint="eastAsia" w:ascii="宋体" w:cs="宋体"/>
          <w:highlight w:val="none"/>
        </w:rPr>
        <w:t>持续优化人居环境，提升村容村貌，调整产业结构，扎实推进乡村振兴战略。</w:t>
      </w:r>
    </w:p>
    <w:p>
      <w:pPr>
        <w:pStyle w:val="28"/>
        <w:rPr>
          <w:highlight w:val="none"/>
        </w:rPr>
      </w:pPr>
      <w:r>
        <w:rPr>
          <w:rFonts w:hint="eastAsia" w:ascii="宋体" w:cs="宋体"/>
          <w:highlight w:val="none"/>
        </w:rPr>
        <w:t>绩效目标：对辖区内</w:t>
      </w:r>
      <w:r>
        <w:rPr>
          <w:highlight w:val="none"/>
        </w:rPr>
        <w:t>19</w:t>
      </w:r>
      <w:r>
        <w:rPr>
          <w:rFonts w:hint="eastAsia" w:ascii="宋体" w:cs="宋体"/>
          <w:highlight w:val="none"/>
        </w:rPr>
        <w:t>个村进行人居环境整治，调整产业结构，统筹谋划好乡村振兴。</w:t>
      </w:r>
    </w:p>
    <w:p>
      <w:pPr>
        <w:pStyle w:val="28"/>
        <w:rPr>
          <w:highlight w:val="none"/>
        </w:rPr>
      </w:pPr>
      <w:r>
        <w:rPr>
          <w:rFonts w:hint="eastAsia" w:ascii="宋体" w:cs="宋体"/>
          <w:highlight w:val="none"/>
        </w:rPr>
        <w:t>绩效指标：搞好农村环境卫生，及时清扫街道，清运垃圾。进一步统筹推进空心村治理，全面改善人居环境质量，提升农村整体形象。因地制宜调整产业结构为乡村振兴打好基础。</w:t>
      </w:r>
    </w:p>
    <w:p>
      <w:pPr>
        <w:spacing w:line="500" w:lineRule="exact"/>
        <w:ind w:firstLine="560"/>
        <w:rPr>
          <w:highlight w:val="none"/>
        </w:rPr>
      </w:pPr>
      <w:r>
        <w:rPr>
          <w:rFonts w:hint="eastAsia" w:ascii="宋体" w:cs="宋体"/>
          <w:color w:val="000000"/>
          <w:sz w:val="28"/>
          <w:highlight w:val="none"/>
        </w:rPr>
        <w:t>（三）工作保障措施</w:t>
      </w:r>
    </w:p>
    <w:p>
      <w:pPr>
        <w:pStyle w:val="29"/>
        <w:rPr>
          <w:highlight w:val="none"/>
        </w:rPr>
      </w:pPr>
      <w:r>
        <w:rPr>
          <w:rFonts w:hint="eastAsia" w:ascii="宋体" w:cs="宋体"/>
          <w:highlight w:val="none"/>
        </w:rPr>
        <w:t>完善制度建设。本部门将</w:t>
      </w:r>
      <w:r>
        <w:rPr>
          <w:rFonts w:hint="eastAsia" w:ascii="宋体" w:cs="宋体"/>
          <w:highlight w:val="none"/>
          <w:lang w:eastAsia="zh-CN"/>
        </w:rPr>
        <w:t>制订</w:t>
      </w:r>
      <w:r>
        <w:rPr>
          <w:rFonts w:hint="eastAsia" w:ascii="宋体" w:cs="宋体"/>
          <w:highlight w:val="none"/>
        </w:rPr>
        <w:t>《全面推进预算绩效管理工作实施方案》，严格按照预算绩效管理制度、资金管理办法、工作保障制度等制度，提高单位领导对全面预算制度管理的重视程度，为全年预算绩效目标的实现奠定制度基础。</w:t>
      </w:r>
    </w:p>
    <w:p>
      <w:pPr>
        <w:pStyle w:val="29"/>
        <w:rPr>
          <w:highlight w:val="none"/>
        </w:rPr>
      </w:pPr>
      <w:r>
        <w:rPr>
          <w:rFonts w:hint="eastAsia" w:ascii="宋体" w:cs="宋体"/>
          <w:highlight w:val="none"/>
        </w:rP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9"/>
        <w:rPr>
          <w:highlight w:val="none"/>
        </w:rPr>
      </w:pPr>
      <w:r>
        <w:rPr>
          <w:rFonts w:hint="eastAsia" w:ascii="宋体" w:cs="宋体"/>
          <w:highlight w:val="none"/>
        </w:rP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w:t>
      </w:r>
      <w:bookmarkStart w:id="18" w:name="_GoBack"/>
      <w:bookmarkEnd w:id="18"/>
      <w:r>
        <w:rPr>
          <w:rFonts w:hint="eastAsia" w:ascii="宋体" w:cs="宋体"/>
          <w:highlight w:val="none"/>
        </w:rPr>
        <w:t>施，确保绩效目标如期保质实现。</w:t>
      </w:r>
    </w:p>
    <w:p>
      <w:pPr>
        <w:pStyle w:val="29"/>
        <w:rPr>
          <w:highlight w:val="none"/>
        </w:rPr>
      </w:pPr>
      <w:r>
        <w:rPr>
          <w:rFonts w:hint="eastAsia" w:ascii="宋体" w:cs="宋体"/>
          <w:highlight w:val="none"/>
        </w:rP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pStyle w:val="29"/>
        <w:rPr>
          <w:highlight w:val="none"/>
        </w:rPr>
      </w:pPr>
      <w:r>
        <w:rPr>
          <w:rFonts w:hint="eastAsia" w:ascii="宋体" w:cs="宋体"/>
          <w:highlight w:val="none"/>
        </w:rPr>
        <w:t>规范财务资产管理。完善本部门财务管理制度，严格财政审批程序，加强固定资产登记、使用和报废处置管理，做到支出合理，物尽其用。</w:t>
      </w:r>
    </w:p>
    <w:p>
      <w:pPr>
        <w:pStyle w:val="29"/>
        <w:rPr>
          <w:highlight w:val="none"/>
        </w:rPr>
      </w:pPr>
      <w:r>
        <w:rPr>
          <w:rFonts w:hint="eastAsia" w:ascii="宋体" w:cs="宋体"/>
          <w:highlight w:val="none"/>
        </w:rP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pStyle w:val="29"/>
        <w:rPr>
          <w:highlight w:val="none"/>
        </w:rPr>
      </w:pPr>
      <w:r>
        <w:rPr>
          <w:rFonts w:hint="eastAsia" w:ascii="宋体" w:cs="宋体"/>
          <w:highlight w:val="none"/>
        </w:rP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ind w:left="0" w:firstLine="640"/>
        <w:rPr>
          <w:rFonts w:ascii="????_GBK" w:hAnsi="????_GBK" w:cs="????_GBK"/>
          <w:b/>
          <w:color w:val="000000"/>
          <w:sz w:val="32"/>
          <w:highlight w:val="none"/>
        </w:rPr>
      </w:pPr>
      <w:r>
        <w:rPr>
          <w:rFonts w:ascii="????_GBK" w:hAnsi="????_GBK" w:cs="????_GBK"/>
          <w:b/>
          <w:color w:val="000000"/>
          <w:sz w:val="32"/>
          <w:highlight w:val="none"/>
        </w:rPr>
        <w:t xml:space="preserve"> </w:t>
      </w:r>
      <w:r>
        <w:rPr>
          <w:rFonts w:hint="eastAsia" w:ascii="宋体" w:cs="宋体"/>
          <w:b/>
          <w:color w:val="000000"/>
          <w:sz w:val="32"/>
          <w:highlight w:val="none"/>
        </w:rPr>
        <w:t>专项资金绩效目标</w:t>
      </w:r>
    </w:p>
    <w:p>
      <w:pPr>
        <w:ind w:firstLine="560" w:firstLineChars="200"/>
        <w:rPr>
          <w:rFonts w:eastAsia="Times New Roman"/>
          <w:sz w:val="28"/>
          <w:highlight w:val="none"/>
        </w:rPr>
      </w:pPr>
      <w:r>
        <w:rPr>
          <w:rFonts w:hint="eastAsia" w:ascii="宋体" w:cs="宋体"/>
          <w:sz w:val="28"/>
          <w:highlight w:val="none"/>
          <w:lang w:eastAsia="zh-CN"/>
        </w:rPr>
        <w:t>我部门</w:t>
      </w:r>
      <w:r>
        <w:rPr>
          <w:rFonts w:eastAsia="Times New Roman"/>
          <w:sz w:val="28"/>
          <w:highlight w:val="none"/>
        </w:rPr>
        <w:t>2022</w:t>
      </w:r>
      <w:r>
        <w:rPr>
          <w:rFonts w:hint="eastAsia" w:ascii="宋体" w:cs="宋体"/>
          <w:sz w:val="28"/>
          <w:highlight w:val="none"/>
        </w:rPr>
        <w:t>年度无专项资金。</w:t>
      </w:r>
    </w:p>
    <w:p>
      <w:pPr>
        <w:pStyle w:val="30"/>
        <w:ind w:firstLine="640"/>
        <w:rPr>
          <w:highlight w:val="none"/>
        </w:rPr>
      </w:pPr>
      <w:r>
        <w:rPr>
          <w:rFonts w:hint="eastAsia" w:ascii="宋体" w:cs="宋体"/>
          <w:b/>
          <w:color w:val="000000"/>
          <w:sz w:val="32"/>
          <w:highlight w:val="none"/>
        </w:rPr>
        <w:t>第三部分</w:t>
      </w:r>
      <w:r>
        <w:rPr>
          <w:rFonts w:ascii="????_GBK" w:hAnsi="????_GBK" w:cs="????_GBK"/>
          <w:b/>
          <w:color w:val="000000"/>
          <w:sz w:val="32"/>
          <w:highlight w:val="none"/>
        </w:rPr>
        <w:t xml:space="preserve">  </w:t>
      </w:r>
      <w:r>
        <w:rPr>
          <w:rFonts w:hint="eastAsia" w:ascii="宋体" w:cs="宋体"/>
          <w:b/>
          <w:color w:val="000000"/>
          <w:sz w:val="32"/>
          <w:highlight w:val="none"/>
        </w:rPr>
        <w:t>预算项目绩效目标</w:t>
      </w:r>
    </w:p>
    <w:p>
      <w:pPr>
        <w:pStyle w:val="30"/>
        <w:ind w:firstLine="560"/>
        <w:rPr>
          <w:rFonts w:ascii="????_GBK" w:hAnsi="????_GBK" w:cs="????_GBK"/>
          <w:b/>
          <w:color w:val="000000"/>
          <w:sz w:val="28"/>
          <w:highlight w:val="none"/>
        </w:rPr>
      </w:pPr>
    </w:p>
    <w:p>
      <w:pPr>
        <w:pStyle w:val="30"/>
        <w:ind w:firstLine="560"/>
        <w:rPr>
          <w:rFonts w:ascii="????_GBK" w:hAnsi="????_GBK" w:cs="????_GBK"/>
          <w:b/>
          <w:color w:val="000000"/>
          <w:sz w:val="28"/>
          <w:highlight w:val="none"/>
        </w:rPr>
      </w:pPr>
    </w:p>
    <w:p>
      <w:pPr>
        <w:pStyle w:val="30"/>
        <w:ind w:firstLine="560"/>
        <w:rPr>
          <w:highlight w:val="none"/>
        </w:rPr>
      </w:pPr>
      <w:r>
        <w:rPr>
          <w:rFonts w:ascii="????_GBK" w:hAnsi="????_GBK" w:cs="????_GBK"/>
          <w:b/>
          <w:color w:val="000000"/>
          <w:sz w:val="28"/>
          <w:highlight w:val="none"/>
        </w:rPr>
        <w:t>1</w:t>
      </w:r>
      <w:r>
        <w:rPr>
          <w:rFonts w:hint="eastAsia" w:ascii="宋体" w:cs="宋体"/>
          <w:b/>
          <w:color w:val="000000"/>
          <w:sz w:val="28"/>
          <w:highlight w:val="none"/>
        </w:rPr>
        <w:t>、青同镇大气污染防治经费绩效目标表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及时排查重点污染企业，减少污染物排放量，每月洒水天数不低于</w:t>
            </w:r>
            <w:r>
              <w:rPr>
                <w:highlight w:val="none"/>
              </w:rPr>
              <w:t>25</w:t>
            </w:r>
            <w:r>
              <w:rPr>
                <w:rFonts w:hint="eastAsia" w:ascii="宋体" w:cs="宋体"/>
                <w:highlight w:val="none"/>
              </w:rPr>
              <w:t>天</w:t>
            </w:r>
          </w:p>
          <w:p>
            <w:pPr>
              <w:pStyle w:val="32"/>
              <w:rPr>
                <w:highlight w:val="none"/>
              </w:rPr>
            </w:pPr>
            <w:r>
              <w:rPr>
                <w:highlight w:val="none"/>
              </w:rPr>
              <w:t>2.</w:t>
            </w:r>
            <w:r>
              <w:rPr>
                <w:rFonts w:hint="eastAsia" w:ascii="宋体" w:cs="宋体"/>
                <w:highlight w:val="none"/>
              </w:rPr>
              <w:t>改善空气质量，降低大气污染指数改善空气质量，降低大气污染指数</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洒水天数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每月洒水天数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25</w:t>
            </w:r>
            <w:r>
              <w:rPr>
                <w:rFonts w:hint="eastAsia" w:ascii="宋体" w:cs="宋体"/>
                <w:highlight w:val="none"/>
              </w:rPr>
              <w:t>天</w:t>
            </w:r>
            <w:r>
              <w:rPr>
                <w:highlight w:val="none"/>
              </w:rPr>
              <w:t>/</w:t>
            </w:r>
            <w:r>
              <w:rPr>
                <w:rFonts w:hint="eastAsia" w:ascii="宋体" w:cs="宋体"/>
                <w:highlight w:val="none"/>
              </w:rPr>
              <w:t>月</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重点污染行业排查率（</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重点污染行业排查率（</w:t>
            </w:r>
            <w:r>
              <w:rPr>
                <w:highlight w:val="none"/>
              </w:rPr>
              <w:t>%</w:t>
            </w:r>
            <w:r>
              <w:rPr>
                <w:rFonts w:hint="eastAsia" w:ascii="宋体" w:cs="宋体"/>
                <w:highlight w:val="none"/>
              </w:rPr>
              <w:t>）</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污染源排查及时率（</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按时排查企业的数量占应排查企业总数的比例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污染整治成本</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每小时租赁洒水车辆的成本</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=400</w:t>
            </w:r>
            <w:r>
              <w:rPr>
                <w:rFonts w:hint="eastAsia" w:ascii="宋体" w:cs="宋体"/>
                <w:highlight w:val="none"/>
              </w:rPr>
              <w:t>元</w:t>
            </w:r>
            <w:r>
              <w:rPr>
                <w:highlight w:val="none"/>
              </w:rPr>
              <w:t>/</w:t>
            </w:r>
            <w:r>
              <w:rPr>
                <w:rFonts w:hint="eastAsia" w:ascii="宋体" w:cs="宋体"/>
                <w:highlight w:val="none"/>
              </w:rPr>
              <w:t>小时</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生态效益指标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改善空气质量</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通过排查企业，洒水改善空气质量情况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进一步改善</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可持续影响指标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降低大气污染指数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通过排查企业，洒水降低大气污染指数情况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进一步降低</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企业污染物排放量减少情况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通过对企业进行宣传教育，辖区内各企业污染物排放量减少情况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进一步减少</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受益对象满意度（</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2</w:t>
      </w:r>
      <w:r>
        <w:rPr>
          <w:rFonts w:hint="eastAsia" w:ascii="宋体" w:cs="宋体"/>
          <w:b/>
          <w:color w:val="000000"/>
          <w:sz w:val="28"/>
          <w:highlight w:val="none"/>
        </w:rPr>
        <w:t>、青同镇维稳经费绩效目标表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完成非正常上访劝返工作</w:t>
            </w:r>
          </w:p>
          <w:p>
            <w:pPr>
              <w:pStyle w:val="32"/>
              <w:rPr>
                <w:highlight w:val="none"/>
              </w:rPr>
            </w:pPr>
            <w:r>
              <w:rPr>
                <w:highlight w:val="none"/>
              </w:rPr>
              <w:t>2.</w:t>
            </w:r>
            <w:r>
              <w:rPr>
                <w:rFonts w:hint="eastAsia" w:ascii="宋体" w:cs="宋体"/>
                <w:highlight w:val="none"/>
              </w:rPr>
              <w:t>提高我镇综合维稳工作水平，确保我镇信访任务完成率达</w:t>
            </w:r>
            <w:r>
              <w:rPr>
                <w:highlight w:val="none"/>
              </w:rPr>
              <w:t>90%</w:t>
            </w:r>
            <w:r>
              <w:rPr>
                <w:rFonts w:hint="eastAsia" w:ascii="宋体" w:cs="宋体"/>
                <w:highlight w:val="none"/>
              </w:rPr>
              <w:t>以上，营造和谐稳定的社会环境，保证我镇居民对越级上访造成后果的了解程度有所提高</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重大信访事务完成率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完成的信访任务占总信访任务的比例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劝返非正常上访事件数量</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劝返非正常上访事件数量</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≥5</w:t>
            </w:r>
            <w:r>
              <w:rPr>
                <w:rFonts w:hint="eastAsia" w:ascii="宋体" w:cs="宋体"/>
                <w:highlight w:val="none"/>
              </w:rPr>
              <w:t>件</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信访摸排工作完成情况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信访摸排工作完成情况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按规定时限完成</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住宿标准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开展信访工作人员每人每天住宿标准</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≤350</w:t>
            </w:r>
            <w:r>
              <w:rPr>
                <w:rFonts w:hint="eastAsia" w:ascii="宋体" w:cs="宋体"/>
                <w:highlight w:val="none"/>
              </w:rPr>
              <w:t>元</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确保</w:t>
            </w:r>
            <w:r>
              <w:rPr>
                <w:highlight w:val="none"/>
              </w:rPr>
              <w:t>0</w:t>
            </w:r>
            <w:r>
              <w:rPr>
                <w:rFonts w:hint="eastAsia" w:ascii="宋体" w:cs="宋体"/>
                <w:highlight w:val="none"/>
              </w:rPr>
              <w:t>上访率（次）</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重点非正常上访</w:t>
            </w:r>
            <w:r>
              <w:rPr>
                <w:highlight w:val="none"/>
              </w:rPr>
              <w:t>‘</w:t>
            </w:r>
            <w:r>
              <w:rPr>
                <w:rFonts w:hint="eastAsia" w:ascii="宋体" w:cs="宋体"/>
                <w:highlight w:val="none"/>
              </w:rPr>
              <w:t>零</w:t>
            </w:r>
            <w:r>
              <w:rPr>
                <w:highlight w:val="none"/>
              </w:rPr>
              <w:t>’</w:t>
            </w:r>
            <w:r>
              <w:rPr>
                <w:rFonts w:hint="eastAsia" w:ascii="宋体" w:cs="宋体"/>
                <w:highlight w:val="none"/>
              </w:rPr>
              <w:t>目标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&lt;1</w:t>
            </w:r>
            <w:r>
              <w:rPr>
                <w:rFonts w:hint="eastAsia" w:ascii="宋体" w:cs="宋体"/>
                <w:highlight w:val="none"/>
              </w:rPr>
              <w:t>次</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信访工作长期正常开展保障情况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保障信访工作有效开展的情况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进一步保障</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信访人员满意度（</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调查中满意和较为满意的信访人员占总调查人数的比例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3</w:t>
      </w:r>
      <w:r>
        <w:rPr>
          <w:rFonts w:hint="eastAsia" w:ascii="宋体" w:cs="宋体"/>
          <w:b/>
          <w:color w:val="000000"/>
          <w:sz w:val="28"/>
          <w:highlight w:val="none"/>
        </w:rPr>
        <w:t>、青同镇武装部建设经费绩效目标表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购置基干民兵服装，应急装备器材不低于</w:t>
            </w:r>
            <w:r>
              <w:rPr>
                <w:highlight w:val="none"/>
              </w:rPr>
              <w:t>40</w:t>
            </w:r>
            <w:r>
              <w:rPr>
                <w:rFonts w:hint="eastAsia" w:ascii="宋体" w:cs="宋体"/>
                <w:highlight w:val="none"/>
              </w:rPr>
              <w:t>套，确保装备合格率为</w:t>
            </w:r>
            <w:r>
              <w:rPr>
                <w:highlight w:val="none"/>
              </w:rPr>
              <w:t>100%</w:t>
            </w:r>
          </w:p>
          <w:p>
            <w:pPr>
              <w:pStyle w:val="32"/>
              <w:rPr>
                <w:highlight w:val="none"/>
              </w:rPr>
            </w:pPr>
            <w:r>
              <w:rPr>
                <w:highlight w:val="none"/>
              </w:rPr>
              <w:t>2.</w:t>
            </w:r>
            <w:r>
              <w:rPr>
                <w:rFonts w:hint="eastAsia" w:ascii="宋体" w:cs="宋体"/>
                <w:highlight w:val="none"/>
              </w:rPr>
              <w:t>完成兵役登记任务和征兵工作任务，保障基层武装部工作的正常运转</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民兵装备（套数）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购置基干民兵服装，应急装备器材的套数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≥40</w:t>
            </w:r>
            <w:r>
              <w:rPr>
                <w:rFonts w:hint="eastAsia" w:ascii="宋体" w:cs="宋体"/>
                <w:highlight w:val="none"/>
              </w:rPr>
              <w:t>套</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购置装备合格率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装备合格的套数占总装备套数的比例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按时完成征兵任务</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按时完成征兵任务的情况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按时完成</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装备单价</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购置每套装备的单价</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≤500</w:t>
            </w:r>
            <w:r>
              <w:rPr>
                <w:rFonts w:hint="eastAsia" w:ascii="宋体" w:cs="宋体"/>
                <w:highlight w:val="none"/>
              </w:rPr>
              <w:t>元</w:t>
            </w:r>
            <w:r>
              <w:rPr>
                <w:highlight w:val="none"/>
              </w:rPr>
              <w:t>/</w:t>
            </w:r>
            <w:r>
              <w:rPr>
                <w:rFonts w:hint="eastAsia" w:ascii="宋体" w:cs="宋体"/>
                <w:highlight w:val="none"/>
              </w:rPr>
              <w:t>套</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突发紧急事件应对情况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对基层突发紧急事件如防火、防汛等情况是否有效应对</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有效应对</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基层武装部工作长期保障情况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对基层武装部工作长期正常运转的保障情况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进一步保障</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服兵役家庭对基层武装工作满意度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4</w:t>
      </w:r>
      <w:r>
        <w:rPr>
          <w:rFonts w:hint="eastAsia" w:ascii="宋体" w:cs="宋体"/>
          <w:b/>
          <w:color w:val="000000"/>
          <w:sz w:val="28"/>
          <w:highlight w:val="none"/>
        </w:rPr>
        <w:t>、青同镇党建经费绩效目标表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开展党组织活动次数不低于</w:t>
            </w:r>
            <w:r>
              <w:rPr>
                <w:highlight w:val="none"/>
              </w:rPr>
              <w:t>4</w:t>
            </w:r>
            <w:r>
              <w:rPr>
                <w:rFonts w:hint="eastAsia" w:ascii="宋体" w:cs="宋体"/>
                <w:highlight w:val="none"/>
              </w:rPr>
              <w:t>次，活动参与率达到</w:t>
            </w:r>
            <w:r>
              <w:rPr>
                <w:highlight w:val="none"/>
              </w:rPr>
              <w:t>95%</w:t>
            </w:r>
            <w:r>
              <w:rPr>
                <w:rFonts w:hint="eastAsia" w:ascii="宋体" w:cs="宋体"/>
                <w:highlight w:val="none"/>
              </w:rPr>
              <w:t>以上，按时开展党组织活动</w:t>
            </w:r>
          </w:p>
          <w:p>
            <w:pPr>
              <w:pStyle w:val="32"/>
              <w:rPr>
                <w:highlight w:val="none"/>
              </w:rPr>
            </w:pPr>
            <w:r>
              <w:rPr>
                <w:highlight w:val="none"/>
              </w:rPr>
              <w:t>2.</w:t>
            </w:r>
            <w:r>
              <w:rPr>
                <w:rFonts w:hint="eastAsia" w:ascii="宋体" w:cs="宋体"/>
                <w:highlight w:val="none"/>
              </w:rPr>
              <w:t>保证党组织活动正常开展，发展新党员，为党输入新鲜血液。</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
        <w:gridCol w:w="1417"/>
        <w:gridCol w:w="2267"/>
        <w:gridCol w:w="2834"/>
        <w:gridCol w:w="2834"/>
        <w:gridCol w:w="2550"/>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2" w:type="dxa"/>
            <w:gridSpan w:val="2"/>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4"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4"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0"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开展党组织活动次数</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年度内开展党组织活动的次数</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highlight w:val="none"/>
              </w:rPr>
              <w:t>≥4</w:t>
            </w:r>
            <w:r>
              <w:rPr>
                <w:rFonts w:hint="eastAsia" w:ascii="宋体" w:cs="宋体"/>
                <w:highlight w:val="none"/>
              </w:rPr>
              <w:t>次</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continue"/>
            <w:tcBorders>
              <w:top w:val="single" w:color="000000" w:sz="6" w:space="0"/>
              <w:left w:val="single" w:color="000000" w:sz="6" w:space="0"/>
              <w:right w:val="single" w:color="000000" w:sz="6" w:space="0"/>
            </w:tcBorders>
            <w:vAlign w:val="center"/>
          </w:tcP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党员思想教育活动参与率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参加活动党员数量占乡镇党员总数的比例</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continue"/>
            <w:tcBorders>
              <w:top w:val="single" w:color="000000" w:sz="6" w:space="0"/>
              <w:left w:val="single" w:color="000000" w:sz="6" w:space="0"/>
              <w:right w:val="single" w:color="000000" w:sz="6" w:space="0"/>
            </w:tcBorders>
            <w:vAlign w:val="center"/>
          </w:tcP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开展党员思想教育活动及时率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及时参加活动党员数量占乡镇党员总数的比例</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continue"/>
            <w:tcBorders>
              <w:top w:val="single" w:color="000000" w:sz="6" w:space="0"/>
              <w:left w:val="single" w:color="000000" w:sz="6" w:space="0"/>
              <w:right w:val="single" w:color="000000" w:sz="6" w:space="0"/>
            </w:tcBorders>
            <w:vAlign w:val="center"/>
          </w:tcP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年度每次开展活动成本</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年度内开展党组织活动的平均成本</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highlight w:val="none"/>
              </w:rPr>
              <w:t>≤0.5</w:t>
            </w:r>
            <w:r>
              <w:rPr>
                <w:rFonts w:hint="eastAsia" w:ascii="宋体" w:cs="宋体"/>
                <w:highlight w:val="none"/>
              </w:rPr>
              <w:t>万元</w:t>
            </w:r>
            <w:r>
              <w:rPr>
                <w:highlight w:val="none"/>
              </w:rPr>
              <w:t>/</w:t>
            </w:r>
            <w:r>
              <w:rPr>
                <w:rFonts w:hint="eastAsia" w:ascii="宋体" w:cs="宋体"/>
                <w:highlight w:val="none"/>
              </w:rPr>
              <w:t>次</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乡镇基层党组织活动保障率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对乡镇基层党组织活动的保障程度</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continue"/>
            <w:tcBorders>
              <w:top w:val="single" w:color="000000" w:sz="6" w:space="0"/>
              <w:left w:val="single" w:color="000000" w:sz="6" w:space="0"/>
              <w:right w:val="single" w:color="000000" w:sz="6" w:space="0"/>
            </w:tcBorders>
            <w:vAlign w:val="center"/>
          </w:tcP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党员干部素质提升情况</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党组织活动开展后，党员群众的素质提升程度</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进一步提升</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受益对象满意度（</w:t>
            </w:r>
            <w:r>
              <w:rPr>
                <w:highlight w:val="none"/>
              </w:rPr>
              <w:t>%</w:t>
            </w:r>
            <w:r>
              <w:rPr>
                <w:rFonts w:hint="eastAsia" w:ascii="宋体" w:cs="宋体"/>
                <w:highlight w:val="none"/>
              </w:rPr>
              <w:t>）</w:t>
            </w:r>
          </w:p>
        </w:tc>
        <w:tc>
          <w:tcPr>
            <w:tcW w:w="2834"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0"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7"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5</w:t>
      </w:r>
      <w:r>
        <w:rPr>
          <w:rFonts w:hint="eastAsia" w:ascii="宋体" w:cs="宋体"/>
          <w:b/>
          <w:color w:val="000000"/>
          <w:sz w:val="28"/>
          <w:highlight w:val="none"/>
        </w:rPr>
        <w:t>、青同镇防火经费绩效目标表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制作宣传条幅以及书写标语数量不少于</w:t>
            </w:r>
            <w:r>
              <w:rPr>
                <w:highlight w:val="none"/>
              </w:rPr>
              <w:t>1000</w:t>
            </w:r>
            <w:r>
              <w:rPr>
                <w:rFonts w:hint="eastAsia" w:ascii="宋体" w:cs="宋体"/>
                <w:highlight w:val="none"/>
              </w:rPr>
              <w:t>条，日常巡逻覆盖率不低于</w:t>
            </w:r>
            <w:r>
              <w:rPr>
                <w:highlight w:val="none"/>
              </w:rPr>
              <w:t>90%</w:t>
            </w:r>
          </w:p>
          <w:p>
            <w:pPr>
              <w:pStyle w:val="32"/>
              <w:rPr>
                <w:highlight w:val="none"/>
              </w:rPr>
            </w:pPr>
            <w:r>
              <w:rPr>
                <w:highlight w:val="none"/>
              </w:rPr>
              <w:t>2.</w:t>
            </w:r>
            <w:r>
              <w:rPr>
                <w:rFonts w:hint="eastAsia" w:ascii="宋体" w:cs="宋体"/>
                <w:highlight w:val="none"/>
              </w:rPr>
              <w:t>进行防火处宣传，真正做到</w:t>
            </w:r>
            <w:r>
              <w:rPr>
                <w:highlight w:val="none"/>
              </w:rPr>
              <w:t>“</w:t>
            </w:r>
            <w:r>
              <w:rPr>
                <w:rFonts w:hint="eastAsia" w:ascii="宋体" w:cs="宋体"/>
                <w:highlight w:val="none"/>
              </w:rPr>
              <w:t>不着一把火，不冒一股烟</w:t>
            </w:r>
            <w:r>
              <w:rPr>
                <w:highlight w:val="none"/>
              </w:rPr>
              <w:t>”</w:t>
            </w:r>
            <w:r>
              <w:rPr>
                <w:rFonts w:hint="eastAsia" w:ascii="宋体" w:cs="宋体"/>
                <w:highlight w:val="none"/>
              </w:rPr>
              <w:t>，居民对防火知识的知晓率高于</w:t>
            </w:r>
            <w:r>
              <w:rPr>
                <w:highlight w:val="none"/>
              </w:rPr>
              <w:t>95%</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制作宣传条幅以及书写标语数量</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制作宣传条幅以及书写标语数量</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≥1000</w:t>
            </w:r>
            <w:r>
              <w:rPr>
                <w:rFonts w:hint="eastAsia" w:ascii="宋体" w:cs="宋体"/>
                <w:highlight w:val="none"/>
              </w:rPr>
              <w:t>条</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日常巡逻覆盖率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护林员每日巡逻村的数量占全镇村总数量的覆盖</w:t>
            </w:r>
            <w:r>
              <w:rPr>
                <w:rFonts w:hint="eastAsia" w:ascii="宋体" w:cs="宋体"/>
                <w:highlight w:val="none"/>
                <w:lang w:eastAsia="zh-CN"/>
              </w:rPr>
              <w:t>全镇</w:t>
            </w:r>
            <w:r>
              <w:rPr>
                <w:rFonts w:hint="eastAsia" w:ascii="宋体" w:cs="宋体"/>
                <w:highlight w:val="none"/>
              </w:rPr>
              <w:t>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防火期间巡逻天数（天）</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护林员巡逻天数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≥180</w:t>
            </w:r>
            <w:r>
              <w:rPr>
                <w:rFonts w:hint="eastAsia" w:ascii="宋体" w:cs="宋体"/>
                <w:highlight w:val="none"/>
              </w:rPr>
              <w:t>天</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制作宣传条幅成本</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每条条幅的单价</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=150</w:t>
            </w:r>
            <w:r>
              <w:rPr>
                <w:rFonts w:hint="eastAsia" w:ascii="宋体" w:cs="宋体"/>
                <w:highlight w:val="none"/>
              </w:rPr>
              <w:t>元</w:t>
            </w:r>
            <w:r>
              <w:rPr>
                <w:highlight w:val="none"/>
              </w:rPr>
              <w:t>/</w:t>
            </w:r>
            <w:r>
              <w:rPr>
                <w:rFonts w:hint="eastAsia" w:ascii="宋体" w:cs="宋体"/>
                <w:highlight w:val="none"/>
              </w:rPr>
              <w:t>条</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生态效益指标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火灾受害率（</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全</w:t>
            </w:r>
            <w:r>
              <w:rPr>
                <w:rFonts w:hint="eastAsia" w:ascii="宋体" w:cs="宋体"/>
                <w:highlight w:val="none"/>
                <w:lang w:eastAsia="zh-CN"/>
              </w:rPr>
              <w:t>镇</w:t>
            </w:r>
            <w:r>
              <w:rPr>
                <w:rFonts w:hint="eastAsia" w:ascii="宋体" w:cs="宋体"/>
                <w:highlight w:val="none"/>
              </w:rPr>
              <w:t>火灾发生面积占镇乡面积总量的比例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0.3%</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居民防火知识知晓率（</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居民对防火知识的了解程度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受益对象满意度（</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6</w:t>
      </w:r>
      <w:r>
        <w:rPr>
          <w:rFonts w:hint="eastAsia" w:ascii="宋体" w:cs="宋体"/>
          <w:b/>
          <w:color w:val="000000"/>
          <w:sz w:val="28"/>
          <w:highlight w:val="none"/>
        </w:rPr>
        <w:t>、青同镇服务群众专项经费绩效目标表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群众服务经费覆盖的村个数为</w:t>
            </w:r>
            <w:r>
              <w:rPr>
                <w:highlight w:val="none"/>
              </w:rPr>
              <w:t>19</w:t>
            </w:r>
            <w:r>
              <w:rPr>
                <w:rFonts w:hint="eastAsia" w:ascii="宋体" w:cs="宋体"/>
                <w:highlight w:val="none"/>
              </w:rPr>
              <w:t>个</w:t>
            </w:r>
            <w:r>
              <w:rPr>
                <w:highlight w:val="none"/>
              </w:rPr>
              <w:t>,</w:t>
            </w:r>
            <w:r>
              <w:rPr>
                <w:rFonts w:hint="eastAsia" w:ascii="宋体" w:cs="宋体"/>
                <w:highlight w:val="none"/>
              </w:rPr>
              <w:t>且补助标准每村不低于</w:t>
            </w:r>
            <w:r>
              <w:rPr>
                <w:highlight w:val="none"/>
              </w:rPr>
              <w:t>5</w:t>
            </w:r>
            <w:r>
              <w:rPr>
                <w:rFonts w:hint="eastAsia" w:ascii="宋体" w:cs="宋体"/>
                <w:highlight w:val="none"/>
              </w:rPr>
              <w:t>万元</w:t>
            </w:r>
          </w:p>
          <w:p>
            <w:pPr>
              <w:pStyle w:val="32"/>
              <w:rPr>
                <w:highlight w:val="none"/>
              </w:rPr>
            </w:pPr>
            <w:r>
              <w:rPr>
                <w:highlight w:val="none"/>
              </w:rPr>
              <w:t>2.</w:t>
            </w:r>
            <w:r>
              <w:rPr>
                <w:rFonts w:hint="eastAsia" w:ascii="宋体" w:cs="宋体"/>
                <w:highlight w:val="none"/>
              </w:rPr>
              <w:t>保障村综合服务站日常运转，改善村容村貌，提升村民生产生活水平</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服务群众专项经费覆盖村个数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辖区内获得服务群众专项经费的村的个数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19</w:t>
            </w:r>
            <w:r>
              <w:rPr>
                <w:rFonts w:hint="eastAsia" w:ascii="宋体" w:cs="宋体"/>
                <w:highlight w:val="none"/>
              </w:rPr>
              <w:t>个</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工作完成率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按照规定，服务群众工作完成的比例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工作完成时限</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在规定时间内，完成基层服务群众工作的情况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按规定时限完成</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补助标准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群众服务经费每村补助标准</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5</w:t>
            </w:r>
            <w:r>
              <w:rPr>
                <w:rFonts w:hint="eastAsia" w:ascii="宋体" w:cs="宋体"/>
                <w:highlight w:val="none"/>
              </w:rPr>
              <w:t>万元</w:t>
            </w:r>
            <w:r>
              <w:rPr>
                <w:highlight w:val="none"/>
              </w:rPr>
              <w:t>/</w:t>
            </w:r>
            <w:r>
              <w:rPr>
                <w:rFonts w:hint="eastAsia" w:ascii="宋体" w:cs="宋体"/>
                <w:highlight w:val="none"/>
              </w:rPr>
              <w:t>个</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提升村级组织服务群众能力及成效</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提升村级组织服务群众能力及成效的情况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改善村容村貌</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完成基层服务群众工作后，村容村貌的改善程度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进一步改善</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受益对象满意度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7</w:t>
      </w:r>
      <w:r>
        <w:rPr>
          <w:rFonts w:hint="eastAsia" w:ascii="宋体" w:cs="宋体"/>
          <w:b/>
          <w:color w:val="000000"/>
          <w:sz w:val="28"/>
          <w:highlight w:val="none"/>
        </w:rPr>
        <w:t>、青同镇妇联经费绩效目标表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硬质宣传页不少于</w:t>
            </w:r>
            <w:r>
              <w:rPr>
                <w:highlight w:val="none"/>
              </w:rPr>
              <w:t>5000</w:t>
            </w:r>
            <w:r>
              <w:rPr>
                <w:rFonts w:hint="eastAsia" w:ascii="宋体" w:cs="宋体"/>
                <w:highlight w:val="none"/>
              </w:rPr>
              <w:t>页，确保宣传页合格率高玉</w:t>
            </w:r>
            <w:r>
              <w:rPr>
                <w:highlight w:val="none"/>
              </w:rPr>
              <w:t>90%</w:t>
            </w:r>
            <w:r>
              <w:rPr>
                <w:rFonts w:hint="eastAsia" w:ascii="宋体" w:cs="宋体"/>
                <w:highlight w:val="none"/>
              </w:rPr>
              <w:t>，工作按时完成率不低于</w:t>
            </w:r>
            <w:r>
              <w:rPr>
                <w:highlight w:val="none"/>
              </w:rPr>
              <w:t>95%</w:t>
            </w:r>
          </w:p>
          <w:p>
            <w:pPr>
              <w:pStyle w:val="32"/>
              <w:rPr>
                <w:highlight w:val="none"/>
              </w:rPr>
            </w:pPr>
            <w:r>
              <w:rPr>
                <w:highlight w:val="none"/>
              </w:rPr>
              <w:t>2.</w:t>
            </w:r>
            <w:r>
              <w:rPr>
                <w:rFonts w:hint="eastAsia" w:ascii="宋体" w:cs="宋体"/>
                <w:highlight w:val="none"/>
              </w:rPr>
              <w:t>有效维护妇女儿童的合法权益，保障妇联工作开展。</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印制宣传页的页数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印制宣传维护妇女儿童宣传页的数量</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≥5000</w:t>
            </w:r>
            <w:r>
              <w:rPr>
                <w:rFonts w:hint="eastAsia" w:ascii="宋体" w:cs="宋体"/>
                <w:highlight w:val="none"/>
              </w:rPr>
              <w:t>页</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印制宣传页的合格率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印制的宣传页合格的数量占宣传页总数的比例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工作按时完成率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各项工作按时完成情况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印制宣传页单价</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每页宣传页的单价</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=3</w:t>
            </w:r>
            <w:r>
              <w:rPr>
                <w:rFonts w:hint="eastAsia" w:ascii="宋体" w:cs="宋体"/>
                <w:highlight w:val="none"/>
              </w:rPr>
              <w:t>元</w:t>
            </w:r>
            <w:r>
              <w:rPr>
                <w:highlight w:val="none"/>
              </w:rPr>
              <w:t>/</w:t>
            </w:r>
            <w:r>
              <w:rPr>
                <w:rFonts w:hint="eastAsia" w:ascii="宋体" w:cs="宋体"/>
                <w:highlight w:val="none"/>
              </w:rPr>
              <w:t>页</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慰问妇女儿童工作长期开展保障情况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对慰问困难妇女和留守儿童工作长期开展保障情况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进一步保障</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维护妇女儿童的合法权益情况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妇女儿童的合法权益实际受保护情况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进一步维护</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受益帮扶对象满意度（</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8</w:t>
      </w:r>
      <w:r>
        <w:rPr>
          <w:rFonts w:hint="eastAsia" w:ascii="宋体" w:cs="宋体"/>
          <w:b/>
          <w:color w:val="000000"/>
          <w:sz w:val="28"/>
          <w:highlight w:val="none"/>
        </w:rPr>
        <w:t>、青同镇纪检巡察经费绩效目标表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扎捆滚动监督检查和延伸巡察，每年实施至少</w:t>
            </w:r>
            <w:r>
              <w:rPr>
                <w:highlight w:val="none"/>
              </w:rPr>
              <w:t>2</w:t>
            </w:r>
            <w:r>
              <w:rPr>
                <w:rFonts w:hint="eastAsia" w:ascii="宋体" w:cs="宋体"/>
                <w:highlight w:val="none"/>
              </w:rPr>
              <w:t>次，每年对所辖村（居）全覆盖一遍。</w:t>
            </w:r>
          </w:p>
          <w:p>
            <w:pPr>
              <w:pStyle w:val="32"/>
              <w:rPr>
                <w:highlight w:val="none"/>
              </w:rPr>
            </w:pPr>
            <w:r>
              <w:rPr>
                <w:highlight w:val="none"/>
              </w:rPr>
              <w:t>2.</w:t>
            </w:r>
            <w:r>
              <w:rPr>
                <w:rFonts w:hint="eastAsia" w:ascii="宋体" w:cs="宋体"/>
                <w:highlight w:val="none"/>
              </w:rPr>
              <w:t>通过各项纪检、监察工作的开展，政治监督作用得到有效发挥。</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全年巡视次数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年度内开展的全面巡视的次数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≥2</w:t>
            </w:r>
            <w:r>
              <w:rPr>
                <w:rFonts w:hint="eastAsia" w:ascii="宋体" w:cs="宋体"/>
                <w:highlight w:val="none"/>
              </w:rPr>
              <w:t>次</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巡视覆盖率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年度内巡视村数量占辖区内村总数量的比例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按时完成巡察工作的情况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按时完成纪检巡察工作的情况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按规定时限完成</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巡察成本</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每次巡察所需要花费的成本</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r>
              <w:rPr>
                <w:rFonts w:hint="eastAsia" w:ascii="宋体" w:cs="宋体"/>
                <w:highlight w:val="none"/>
              </w:rPr>
              <w:t>元</w:t>
            </w:r>
            <w:r>
              <w:rPr>
                <w:highlight w:val="none"/>
              </w:rPr>
              <w:t>/</w:t>
            </w:r>
            <w:r>
              <w:rPr>
                <w:rFonts w:hint="eastAsia" w:ascii="宋体" w:cs="宋体"/>
                <w:highlight w:val="none"/>
              </w:rPr>
              <w:t>天</w:t>
            </w:r>
            <w:r>
              <w:rPr>
                <w:highlight w:val="none"/>
              </w:rPr>
              <w:t>/</w:t>
            </w:r>
            <w:r>
              <w:rPr>
                <w:rFonts w:hint="eastAsia" w:ascii="宋体" w:cs="宋体"/>
                <w:highlight w:val="none"/>
              </w:rPr>
              <w:t>人</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监督效能发挥情况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通过各项纪检、监察工作的开展，政治监督作用的发挥情况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有效发挥</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正风防腐成效提升情况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通过各项纪检、监察工作的开展，正风防腐的成效实际提升情况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群众满意程度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群众对纪检巡察工作开展的满意程度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9</w:t>
      </w:r>
      <w:r>
        <w:rPr>
          <w:rFonts w:hint="eastAsia" w:ascii="宋体" w:cs="宋体"/>
          <w:b/>
          <w:color w:val="000000"/>
          <w:sz w:val="28"/>
          <w:highlight w:val="none"/>
        </w:rPr>
        <w:t>、青同镇科普经费绩效目标表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按时开展科普宣传活动，参与科普宣传人数不低于</w:t>
            </w:r>
            <w:r>
              <w:rPr>
                <w:highlight w:val="none"/>
              </w:rPr>
              <w:t>1000</w:t>
            </w:r>
            <w:r>
              <w:rPr>
                <w:rFonts w:hint="eastAsia" w:ascii="宋体" w:cs="宋体"/>
                <w:highlight w:val="none"/>
              </w:rPr>
              <w:t>人</w:t>
            </w:r>
          </w:p>
          <w:p>
            <w:pPr>
              <w:pStyle w:val="32"/>
              <w:rPr>
                <w:highlight w:val="none"/>
              </w:rPr>
            </w:pPr>
            <w:r>
              <w:rPr>
                <w:highlight w:val="none"/>
              </w:rPr>
              <w:t>2.</w:t>
            </w:r>
            <w:r>
              <w:rPr>
                <w:rFonts w:hint="eastAsia" w:ascii="宋体" w:cs="宋体"/>
                <w:highlight w:val="none"/>
              </w:rPr>
              <w:t>通过开展各种科普活动和专业技术培训活动，吸引更多大众参与，普及科学知识，提高全民科学素质。</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宣传活动完成率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开展科普宣传活动完成率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参加科普活动人次</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参加科普活动的人数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≥1000</w:t>
            </w:r>
            <w:r>
              <w:rPr>
                <w:rFonts w:hint="eastAsia" w:ascii="宋体" w:cs="宋体"/>
                <w:highlight w:val="none"/>
              </w:rPr>
              <w:t>人</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按期完成率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科普活动按时组织开展的次数占全年科普活动的比率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年科普经费补助标准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年科普经费补助标准</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1</w:t>
            </w:r>
            <w:r>
              <w:rPr>
                <w:rFonts w:hint="eastAsia" w:ascii="宋体" w:cs="宋体"/>
                <w:highlight w:val="none"/>
              </w:rPr>
              <w:t>万元</w:t>
            </w:r>
            <w:r>
              <w:rPr>
                <w:highlight w:val="none"/>
              </w:rPr>
              <w:t>/</w:t>
            </w:r>
            <w:r>
              <w:rPr>
                <w:rFonts w:hint="eastAsia" w:ascii="宋体" w:cs="宋体"/>
                <w:highlight w:val="none"/>
              </w:rPr>
              <w:t>年</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经济效益指标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提高本县基本公民科学素质</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通过开展科普活动，公民基本科学素养提升程度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进一步提高</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可持续影响指标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长期使用性</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通过开展科普培训，公民对科普知识的应用程度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长期有效</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社会影响力</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通过开展科普宣传，科普知识对我乡居民的影响程度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进一步提高</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受益群众满意度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群众对科普工作开展的满意程度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10</w:t>
      </w:r>
      <w:r>
        <w:rPr>
          <w:rFonts w:hint="eastAsia" w:ascii="宋体" w:cs="宋体"/>
          <w:b/>
          <w:color w:val="000000"/>
          <w:sz w:val="28"/>
          <w:highlight w:val="none"/>
        </w:rPr>
        <w:t>、青同镇民政经费绩效目标表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农村低保保障工作准确率达到</w:t>
            </w:r>
            <w:r>
              <w:rPr>
                <w:highlight w:val="none"/>
              </w:rPr>
              <w:t>100%</w:t>
            </w:r>
            <w:r>
              <w:rPr>
                <w:rFonts w:hint="eastAsia" w:ascii="宋体" w:cs="宋体"/>
                <w:highlight w:val="none"/>
              </w:rPr>
              <w:t>，农村标准达标率达到</w:t>
            </w:r>
            <w:r>
              <w:rPr>
                <w:highlight w:val="none"/>
              </w:rPr>
              <w:t>100%</w:t>
            </w:r>
          </w:p>
          <w:p>
            <w:pPr>
              <w:pStyle w:val="32"/>
              <w:rPr>
                <w:highlight w:val="none"/>
              </w:rPr>
            </w:pPr>
            <w:r>
              <w:rPr>
                <w:highlight w:val="none"/>
              </w:rPr>
              <w:t>2.</w:t>
            </w:r>
            <w:r>
              <w:rPr>
                <w:rFonts w:hint="eastAsia" w:ascii="宋体" w:cs="宋体"/>
                <w:highlight w:val="none"/>
              </w:rPr>
              <w:t>按照补助标准，确保资金及时足额申报发放，使受助群体生活条件得到改善，受益对象达到满意度</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农村低保保障工作的准确率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纳入低保时符合低保条新纳入对象占所有纳入对象的比例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低、五保覆盖辖区内所辖村数量</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低、五保覆盖辖区内所辖村数量</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19</w:t>
            </w:r>
            <w:r>
              <w:rPr>
                <w:rFonts w:hint="eastAsia" w:ascii="宋体" w:cs="宋体"/>
                <w:highlight w:val="none"/>
              </w:rPr>
              <w:t>个</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按时完成工作情况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低、五保工作按时完成情况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按规定时限完成</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补助标准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纳入低、五保人员的补助标准</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≥275</w:t>
            </w:r>
            <w:r>
              <w:rPr>
                <w:rFonts w:hint="eastAsia" w:ascii="宋体" w:cs="宋体"/>
                <w:highlight w:val="none"/>
              </w:rPr>
              <w:t>元</w:t>
            </w:r>
            <w:r>
              <w:rPr>
                <w:highlight w:val="none"/>
              </w:rPr>
              <w:t>/</w:t>
            </w:r>
            <w:r>
              <w:rPr>
                <w:rFonts w:hint="eastAsia" w:ascii="宋体" w:cs="宋体"/>
                <w:highlight w:val="none"/>
              </w:rPr>
              <w:t>人</w:t>
            </w:r>
            <w:r>
              <w:rPr>
                <w:highlight w:val="none"/>
              </w:rPr>
              <w:t>/</w:t>
            </w:r>
            <w:r>
              <w:rPr>
                <w:rFonts w:hint="eastAsia" w:ascii="宋体" w:cs="宋体"/>
                <w:highlight w:val="none"/>
              </w:rPr>
              <w:t>月</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可持续影响指标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困难群众生活水平改善情况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困难群众生活水平改善情况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进一步改善</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低、五保评议有效性</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通过召开村民代表大会，对申请低、五保人员评议，符合低、五保标准的占所有评议人员的比例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受益群众满意度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救助对象的满意程度</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11</w:t>
      </w:r>
      <w:r>
        <w:rPr>
          <w:rFonts w:hint="eastAsia" w:ascii="宋体" w:cs="宋体"/>
          <w:b/>
          <w:color w:val="000000"/>
          <w:sz w:val="28"/>
          <w:highlight w:val="none"/>
        </w:rPr>
        <w:t>、青同镇团委经费绩效目标表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对留守儿童、失亲儿童、贫困儿童进行</w:t>
            </w:r>
            <w:r>
              <w:rPr>
                <w:highlight w:val="none"/>
              </w:rPr>
              <w:t>100%</w:t>
            </w:r>
            <w:r>
              <w:rPr>
                <w:rFonts w:hint="eastAsia" w:ascii="宋体" w:cs="宋体"/>
                <w:highlight w:val="none"/>
              </w:rPr>
              <w:t>摸底登记，协助上级单位开展帮扶活动不低于</w:t>
            </w:r>
            <w:r>
              <w:rPr>
                <w:highlight w:val="none"/>
              </w:rPr>
              <w:t>2</w:t>
            </w:r>
            <w:r>
              <w:rPr>
                <w:rFonts w:hint="eastAsia" w:ascii="宋体" w:cs="宋体"/>
                <w:highlight w:val="none"/>
              </w:rPr>
              <w:t>次，按时完成团委各项工作</w:t>
            </w:r>
          </w:p>
          <w:p>
            <w:pPr>
              <w:pStyle w:val="32"/>
              <w:rPr>
                <w:highlight w:val="none"/>
              </w:rPr>
            </w:pPr>
            <w:r>
              <w:rPr>
                <w:highlight w:val="none"/>
              </w:rPr>
              <w:t>2.</w:t>
            </w:r>
            <w:r>
              <w:rPr>
                <w:rFonts w:hint="eastAsia" w:ascii="宋体" w:cs="宋体"/>
                <w:highlight w:val="none"/>
              </w:rPr>
              <w:t>通过开展各类活动，有效提高青少年法律意识，有效减低青少年犯罪数量</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登记准确率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登记留守儿童、失亲儿童、贫困儿童的准确率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举办活动次数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协助上级单位开展帮扶活动次数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≥2</w:t>
            </w:r>
            <w:r>
              <w:rPr>
                <w:rFonts w:hint="eastAsia" w:ascii="宋体" w:cs="宋体"/>
                <w:highlight w:val="none"/>
              </w:rPr>
              <w:t>次</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工作完成及时情况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工作完成及时情况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按规定时限完成</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年团委经费补助标准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年团委经费补助标准</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≤2</w:t>
            </w:r>
            <w:r>
              <w:rPr>
                <w:rFonts w:hint="eastAsia" w:ascii="宋体" w:cs="宋体"/>
                <w:highlight w:val="none"/>
              </w:rPr>
              <w:t>万元</w:t>
            </w:r>
            <w:r>
              <w:rPr>
                <w:highlight w:val="none"/>
              </w:rPr>
              <w:t>/</w:t>
            </w:r>
            <w:r>
              <w:rPr>
                <w:rFonts w:hint="eastAsia" w:ascii="宋体" w:cs="宋体"/>
                <w:highlight w:val="none"/>
              </w:rPr>
              <w:t>年</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提高青少年法律意识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有效提高青少年法律意识</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进一步提高</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青少年犯罪减少情况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减少青少年犯罪数量的情况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进一步减少</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受益帮扶对象满意度（</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≥95%</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12</w:t>
      </w:r>
      <w:r>
        <w:rPr>
          <w:rFonts w:hint="eastAsia" w:ascii="宋体" w:cs="宋体"/>
          <w:b/>
          <w:color w:val="000000"/>
          <w:sz w:val="28"/>
          <w:highlight w:val="none"/>
        </w:rPr>
        <w:t>、青同镇综合联防队员用工补贴绩效目标表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按时发放</w:t>
            </w:r>
            <w:r>
              <w:rPr>
                <w:highlight w:val="none"/>
              </w:rPr>
              <w:t>48</w:t>
            </w:r>
            <w:r>
              <w:rPr>
                <w:rFonts w:hint="eastAsia" w:ascii="宋体" w:cs="宋体"/>
                <w:highlight w:val="none"/>
              </w:rPr>
              <w:t>名综治联防队员工资，确保联防人员上岗率</w:t>
            </w:r>
            <w:r>
              <w:rPr>
                <w:highlight w:val="none"/>
              </w:rPr>
              <w:t>100%</w:t>
            </w:r>
          </w:p>
          <w:p>
            <w:pPr>
              <w:pStyle w:val="32"/>
              <w:rPr>
                <w:highlight w:val="none"/>
              </w:rPr>
            </w:pPr>
            <w:r>
              <w:rPr>
                <w:highlight w:val="none"/>
              </w:rPr>
              <w:t>2.</w:t>
            </w:r>
            <w:r>
              <w:rPr>
                <w:rFonts w:hint="eastAsia" w:ascii="宋体" w:cs="宋体"/>
                <w:highlight w:val="none"/>
              </w:rPr>
              <w:t>联防人员上岗后，使我镇社会治安得到有效治理，加强我镇维稳力量，维护我镇社会治安</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联防人员上岗率（</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实际上岗人员占签订协议人员的比率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招录联防人员数量（名）</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我镇招录联防人员数量</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w:t>
            </w:r>
            <w:r>
              <w:rPr>
                <w:highlight w:val="none"/>
              </w:rPr>
              <w:t>48</w:t>
            </w:r>
            <w:r>
              <w:rPr>
                <w:rFonts w:hint="eastAsia" w:ascii="宋体" w:cs="宋体"/>
                <w:highlight w:val="none"/>
              </w:rPr>
              <w:t>名</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联防人员上岗及时率（</w:t>
            </w:r>
            <w:r>
              <w:rPr>
                <w:highlight w:val="none"/>
              </w:rPr>
              <w:t>%</w:t>
            </w:r>
            <w:r>
              <w:rPr>
                <w:rFonts w:hint="eastAsia" w:ascii="宋体" w:cs="宋体"/>
                <w:highlight w:val="none"/>
              </w:rPr>
              <w:t>）</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联防人员上岗及时率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100%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补助标准</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辖区内综治联防人员每月人均补助资金</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≥400</w:t>
            </w:r>
            <w:r>
              <w:rPr>
                <w:rFonts w:hint="eastAsia" w:ascii="宋体" w:cs="宋体"/>
                <w:highlight w:val="none"/>
              </w:rPr>
              <w:t>元</w:t>
            </w:r>
            <w:r>
              <w:rPr>
                <w:highlight w:val="none"/>
              </w:rPr>
              <w:t>/</w:t>
            </w:r>
            <w:r>
              <w:rPr>
                <w:rFonts w:hint="eastAsia" w:ascii="宋体" w:cs="宋体"/>
                <w:highlight w:val="none"/>
              </w:rPr>
              <w:t>月</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社会治安稳定情况改善效果</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联防人员上岗后我镇社会治安稳定情况改善效果</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进一步改善</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联防人员生活改善</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联防人员上岗后在生活方面的改善情况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进一步改善</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受益对象满意度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受益对象满意度调查结果为满意以上的比例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pPr>
    </w:p>
    <w:p>
      <w:pPr>
        <w:pStyle w:val="30"/>
        <w:ind w:firstLine="560"/>
        <w:rPr>
          <w:highlight w:val="none"/>
        </w:rPr>
      </w:pPr>
      <w:r>
        <w:rPr>
          <w:rFonts w:ascii="????_GBK" w:hAnsi="????_GBK" w:cs="????_GBK"/>
          <w:b/>
          <w:color w:val="000000"/>
          <w:sz w:val="28"/>
          <w:highlight w:val="none"/>
        </w:rPr>
        <w:t>13</w:t>
      </w:r>
      <w:r>
        <w:rPr>
          <w:rFonts w:hint="eastAsia" w:ascii="宋体" w:cs="宋体"/>
          <w:b/>
          <w:color w:val="000000"/>
          <w:sz w:val="28"/>
          <w:highlight w:val="none"/>
        </w:rPr>
        <w:t>、行政综合服务中心执法经费绩效目标表</w:t>
      </w:r>
    </w:p>
    <w:tbl>
      <w:tblPr>
        <w:tblStyle w:val="11"/>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31"/>
              <w:rPr>
                <w:highlight w:val="none"/>
              </w:rPr>
            </w:pPr>
            <w:r>
              <w:rPr>
                <w:rFonts w:hint="eastAsia" w:ascii="宋体" w:cs="宋体"/>
                <w:highlight w:val="none"/>
              </w:rPr>
              <w:t>绩效目标</w:t>
            </w:r>
          </w:p>
        </w:tc>
        <w:tc>
          <w:tcPr>
            <w:tcW w:w="12756" w:type="dxa"/>
            <w:tcBorders>
              <w:top w:val="single" w:color="000000" w:sz="6" w:space="0"/>
              <w:bottom w:val="single" w:color="FFFFFF" w:sz="6" w:space="0"/>
            </w:tcBorders>
            <w:vAlign w:val="center"/>
          </w:tcPr>
          <w:p>
            <w:pPr>
              <w:pStyle w:val="32"/>
              <w:rPr>
                <w:highlight w:val="none"/>
              </w:rPr>
            </w:pPr>
            <w:r>
              <w:rPr>
                <w:highlight w:val="none"/>
              </w:rPr>
              <w:t>1.</w:t>
            </w:r>
            <w:r>
              <w:rPr>
                <w:rFonts w:hint="eastAsia" w:ascii="宋体" w:cs="宋体"/>
                <w:highlight w:val="none"/>
              </w:rPr>
              <w:t>对辖区内</w:t>
            </w:r>
            <w:r>
              <w:rPr>
                <w:highlight w:val="none"/>
              </w:rPr>
              <w:t>19</w:t>
            </w:r>
            <w:r>
              <w:rPr>
                <w:rFonts w:hint="eastAsia" w:ascii="宋体" w:cs="宋体"/>
                <w:highlight w:val="none"/>
              </w:rPr>
              <w:t>个村进行执法巡查，预计每月巡查</w:t>
            </w:r>
            <w:r>
              <w:rPr>
                <w:highlight w:val="none"/>
              </w:rPr>
              <w:t>1</w:t>
            </w:r>
            <w:r>
              <w:rPr>
                <w:rFonts w:hint="eastAsia" w:ascii="宋体" w:cs="宋体"/>
                <w:highlight w:val="none"/>
              </w:rPr>
              <w:t>次，巡查覆盖率达</w:t>
            </w:r>
            <w:r>
              <w:rPr>
                <w:highlight w:val="none"/>
              </w:rPr>
              <w:t>95%</w:t>
            </w:r>
            <w:r>
              <w:rPr>
                <w:rFonts w:hint="eastAsia" w:ascii="宋体" w:cs="宋体"/>
                <w:highlight w:val="none"/>
              </w:rPr>
              <w:t>以上</w:t>
            </w:r>
          </w:p>
          <w:p>
            <w:pPr>
              <w:pStyle w:val="32"/>
              <w:rPr>
                <w:highlight w:val="none"/>
              </w:rPr>
            </w:pPr>
            <w:r>
              <w:rPr>
                <w:highlight w:val="none"/>
              </w:rPr>
              <w:t>2.</w:t>
            </w:r>
            <w:r>
              <w:rPr>
                <w:rFonts w:hint="eastAsia" w:ascii="宋体" w:cs="宋体"/>
                <w:highlight w:val="none"/>
              </w:rPr>
              <w:t>通过巡查，及时发现违法违规开采资源现象，并作出相应的处罚，保证辖区内自然资源得到有效保护，使辖区治安环境得到有效改善</w:t>
            </w:r>
          </w:p>
        </w:tc>
      </w:tr>
    </w:tbl>
    <w:p>
      <w:pPr>
        <w:pStyle w:val="30"/>
        <w:spacing w:line="2" w:lineRule="exact"/>
        <w:jc w:val="center"/>
        <w:rPr>
          <w:highlight w:val="none"/>
        </w:rPr>
      </w:pPr>
      <w:r>
        <w:rPr>
          <w:rFonts w:ascii="????_GBK" w:hAnsi="????_GBK" w:cs="????_GBK"/>
          <w:color w:val="000000"/>
          <w:sz w:val="18"/>
          <w:highlight w:val="none"/>
        </w:rPr>
        <w:t xml:space="preserve"> </w:t>
      </w:r>
    </w:p>
    <w:tbl>
      <w:tblPr>
        <w:tblStyle w:val="11"/>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一级指标</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二级指标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三级指标</w:t>
            </w:r>
          </w:p>
        </w:tc>
        <w:tc>
          <w:tcPr>
            <w:tcW w:w="2835"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绩效指标描述</w:t>
            </w:r>
          </w:p>
        </w:tc>
        <w:tc>
          <w:tcPr>
            <w:tcW w:w="2551"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w:t>
            </w:r>
          </w:p>
        </w:tc>
        <w:tc>
          <w:tcPr>
            <w:tcW w:w="2268" w:type="dxa"/>
            <w:tcBorders>
              <w:left w:val="single" w:color="000000" w:sz="6" w:space="0"/>
              <w:right w:val="single" w:color="000000" w:sz="6" w:space="0"/>
            </w:tcBorders>
            <w:vAlign w:val="center"/>
          </w:tcPr>
          <w:p>
            <w:pPr>
              <w:pStyle w:val="31"/>
              <w:rPr>
                <w:highlight w:val="none"/>
              </w:rPr>
            </w:pPr>
            <w:r>
              <w:rPr>
                <w:rFonts w:hint="eastAsia" w:ascii="宋体" w:cs="宋体"/>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产出指标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数量指标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巡查次数</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年度内开展执法巡查次数</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≥12</w:t>
            </w:r>
            <w:r>
              <w:rPr>
                <w:rFonts w:hint="eastAsia" w:ascii="宋体" w:cs="宋体"/>
                <w:highlight w:val="none"/>
              </w:rPr>
              <w:t>次</w:t>
            </w:r>
            <w:r>
              <w:rPr>
                <w:highlight w:val="none"/>
              </w:rPr>
              <w:t>/</w:t>
            </w:r>
            <w:r>
              <w:rPr>
                <w:rFonts w:hint="eastAsia" w:ascii="宋体" w:cs="宋体"/>
                <w:highlight w:val="none"/>
              </w:rPr>
              <w:t>年</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质量指标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巡查覆盖率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每次巡查的覆盖全域内</w:t>
            </w:r>
            <w:r>
              <w:rPr>
                <w:highlight w:val="none"/>
              </w:rPr>
              <w:t xml:space="preserve"> </w:t>
            </w:r>
            <w:r>
              <w:rPr>
                <w:rFonts w:hint="eastAsia" w:ascii="宋体" w:cs="宋体"/>
                <w:highlight w:val="none"/>
              </w:rPr>
              <w:t>面积的比率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时效指标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巡查及时率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接到群众的反映后，执法队出车巡查的及时率</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成本指标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巡查成本</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每次巡查需要花费的成本</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≤200</w:t>
            </w:r>
            <w:r>
              <w:rPr>
                <w:rFonts w:hint="eastAsia" w:ascii="宋体" w:cs="宋体"/>
                <w:highlight w:val="none"/>
              </w:rPr>
              <w:t>元</w:t>
            </w:r>
            <w:r>
              <w:rPr>
                <w:highlight w:val="none"/>
              </w:rPr>
              <w:t>/</w:t>
            </w:r>
            <w:r>
              <w:rPr>
                <w:rFonts w:hint="eastAsia" w:ascii="宋体" w:cs="宋体"/>
                <w:highlight w:val="none"/>
              </w:rPr>
              <w:t>次</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效益指标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非法开采遏制情况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通过巡查，非法开采得到有效遏制的情况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进一步改善</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right w:val="single" w:color="000000" w:sz="6" w:space="0"/>
            </w:tcBorders>
            <w:vAlign w:val="center"/>
          </w:tcP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社会效益指标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自然资源保护情况</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通过巡查，自然资源得到有效保护的情况</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进一步提高</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right w:val="single" w:color="000000" w:sz="6" w:space="0"/>
            </w:tcBorders>
            <w:vAlign w:val="center"/>
          </w:tcPr>
          <w:p>
            <w:pPr>
              <w:pStyle w:val="33"/>
              <w:rPr>
                <w:highlight w:val="none"/>
              </w:rPr>
            </w:pPr>
            <w:r>
              <w:rPr>
                <w:rFonts w:hint="eastAsia" w:ascii="宋体" w:cs="宋体"/>
                <w:highlight w:val="none"/>
              </w:rPr>
              <w:t>满意度指标</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服务对象满意度指标</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群众满意程度</w:t>
            </w:r>
          </w:p>
        </w:tc>
        <w:tc>
          <w:tcPr>
            <w:tcW w:w="2835"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通过问卷调查，满意和较满意的受益对象占全部调研对象的比例</w:t>
            </w:r>
          </w:p>
        </w:tc>
        <w:tc>
          <w:tcPr>
            <w:tcW w:w="2551" w:type="dxa"/>
            <w:tcBorders>
              <w:top w:val="single" w:color="000000" w:sz="6" w:space="0"/>
              <w:left w:val="single" w:color="000000" w:sz="6" w:space="0"/>
              <w:right w:val="single" w:color="000000" w:sz="6" w:space="0"/>
            </w:tcBorders>
            <w:vAlign w:val="center"/>
          </w:tcPr>
          <w:p>
            <w:pPr>
              <w:pStyle w:val="32"/>
              <w:rPr>
                <w:highlight w:val="none"/>
              </w:rPr>
            </w:pPr>
            <w:r>
              <w:rPr>
                <w:highlight w:val="none"/>
              </w:rPr>
              <w:t>≥90%</w:t>
            </w:r>
          </w:p>
        </w:tc>
        <w:tc>
          <w:tcPr>
            <w:tcW w:w="2268" w:type="dxa"/>
            <w:tcBorders>
              <w:top w:val="single" w:color="000000" w:sz="6" w:space="0"/>
              <w:left w:val="single" w:color="000000" w:sz="6" w:space="0"/>
              <w:right w:val="single" w:color="000000" w:sz="6" w:space="0"/>
            </w:tcBorders>
            <w:vAlign w:val="center"/>
          </w:tcPr>
          <w:p>
            <w:pPr>
              <w:pStyle w:val="32"/>
              <w:rPr>
                <w:highlight w:val="none"/>
              </w:rPr>
            </w:pPr>
            <w:r>
              <w:rPr>
                <w:rFonts w:hint="eastAsia" w:ascii="宋体" w:cs="宋体"/>
                <w:highlight w:val="none"/>
              </w:rPr>
              <w:t>调查问卷</w:t>
            </w:r>
          </w:p>
        </w:tc>
      </w:tr>
    </w:tbl>
    <w:p>
      <w:pPr>
        <w:pStyle w:val="30"/>
        <w:rPr>
          <w:highlight w:val="none"/>
        </w:rPr>
        <w:sectPr>
          <w:pgSz w:w="16840" w:h="11900" w:orient="landscape"/>
          <w:pgMar w:top="1361" w:right="1020" w:bottom="1361" w:left="1020" w:header="720" w:footer="720" w:gutter="0"/>
          <w:cols w:space="720" w:num="1"/>
          <w:docGrid w:linePitch="326" w:charSpace="0"/>
        </w:sectPr>
      </w:pPr>
    </w:p>
    <w:p>
      <w:pPr>
        <w:spacing w:before="10" w:after="10"/>
        <w:ind w:firstLine="640"/>
        <w:outlineLvl w:val="2"/>
        <w:rPr>
          <w:highlight w:val="none"/>
        </w:rPr>
      </w:pPr>
      <w:bookmarkStart w:id="14" w:name="_Toc30902880"/>
      <w:r>
        <w:rPr>
          <w:rFonts w:hint="eastAsia" w:ascii="黑体" w:eastAsia="黑体" w:cs="黑体"/>
          <w:color w:val="000000"/>
          <w:sz w:val="32"/>
          <w:highlight w:val="none"/>
        </w:rPr>
        <w:t>六、政府采购预算情况</w:t>
      </w:r>
      <w:bookmarkEnd w:id="14"/>
    </w:p>
    <w:p>
      <w:pPr>
        <w:spacing w:line="500" w:lineRule="exact"/>
        <w:ind w:firstLine="560"/>
        <w:rPr>
          <w:highlight w:val="none"/>
        </w:rPr>
      </w:pPr>
      <w:r>
        <w:rPr>
          <w:rFonts w:eastAsia="Times New Roman"/>
          <w:color w:val="000000"/>
          <w:sz w:val="28"/>
          <w:highlight w:val="none"/>
        </w:rPr>
        <w:t>2022</w:t>
      </w:r>
      <w:r>
        <w:rPr>
          <w:rFonts w:hint="eastAsia" w:ascii="宋体" w:cs="宋体"/>
          <w:color w:val="000000"/>
          <w:sz w:val="28"/>
          <w:highlight w:val="none"/>
        </w:rPr>
        <w:t>年，灵寿县青同镇人民政府安排政府采购预算</w:t>
      </w:r>
      <w:r>
        <w:rPr>
          <w:rFonts w:eastAsia="Times New Roman"/>
          <w:color w:val="000000"/>
          <w:sz w:val="28"/>
          <w:highlight w:val="none"/>
        </w:rPr>
        <w:t>0.00</w:t>
      </w:r>
      <w:r>
        <w:rPr>
          <w:rFonts w:hint="eastAsia" w:ascii="宋体" w:cs="宋体"/>
          <w:color w:val="000000"/>
          <w:sz w:val="28"/>
          <w:highlight w:val="none"/>
        </w:rPr>
        <w:t>万元。具体内容见下表。</w:t>
      </w:r>
    </w:p>
    <w:p>
      <w:pPr>
        <w:jc w:val="center"/>
        <w:rPr>
          <w:highlight w:val="none"/>
        </w:rPr>
      </w:pPr>
      <w:r>
        <w:rPr>
          <w:rFonts w:hint="eastAsia" w:ascii="方正小标宋_GBK" w:eastAsia="方正小标宋_GBK" w:cs="方正小标宋_GBK"/>
          <w:color w:val="000000"/>
          <w:sz w:val="36"/>
          <w:highlight w:val="none"/>
        </w:rPr>
        <w:t>部门政府采购预算</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8676" w:type="dxa"/>
            <w:gridSpan w:val="9"/>
            <w:tcBorders>
              <w:top w:val="single" w:color="FFFFFF" w:sz="6" w:space="0"/>
              <w:left w:val="single" w:color="FFFFFF" w:sz="6" w:space="0"/>
              <w:right w:val="single" w:color="FFFFFF" w:sz="6" w:space="0"/>
            </w:tcBorders>
            <w:vAlign w:val="center"/>
          </w:tcPr>
          <w:p>
            <w:pPr>
              <w:pStyle w:val="34"/>
              <w:rPr>
                <w:highlight w:val="none"/>
              </w:rPr>
            </w:pPr>
            <w:r>
              <w:rPr>
                <w:rFonts w:hint="eastAsia" w:ascii="宋体" w:cs="宋体"/>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政府采购项目来源</w:t>
            </w:r>
          </w:p>
        </w:tc>
        <w:tc>
          <w:tcPr>
            <w:tcW w:w="1134"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采购物品名称</w:t>
            </w:r>
          </w:p>
        </w:tc>
        <w:tc>
          <w:tcPr>
            <w:tcW w:w="1134"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政府采购目录序号</w:t>
            </w:r>
          </w:p>
        </w:tc>
        <w:tc>
          <w:tcPr>
            <w:tcW w:w="709"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计量</w:t>
            </w:r>
            <w:r>
              <w:rPr>
                <w:highlight w:val="none"/>
              </w:rPr>
              <w:t xml:space="preserve">  </w:t>
            </w:r>
            <w:r>
              <w:rPr>
                <w:rFonts w:hint="eastAsia" w:ascii="宋体" w:cs="宋体"/>
                <w:highlight w:val="none"/>
              </w:rPr>
              <w:t>单位</w:t>
            </w:r>
          </w:p>
        </w:tc>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数量</w:t>
            </w:r>
          </w:p>
        </w:tc>
        <w:tc>
          <w:tcPr>
            <w:tcW w:w="850" w:type="dxa"/>
            <w:vMerge w:val="restart"/>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单价</w:t>
            </w:r>
          </w:p>
        </w:tc>
        <w:tc>
          <w:tcPr>
            <w:tcW w:w="7712" w:type="dxa"/>
            <w:gridSpan w:val="8"/>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政府采购金额（当年部门预算安排资金）</w:t>
            </w:r>
          </w:p>
        </w:tc>
        <w:tc>
          <w:tcPr>
            <w:tcW w:w="964" w:type="dxa"/>
            <w:vMerge w:val="restart"/>
            <w:tcBorders>
              <w:top w:val="single" w:color="000000" w:sz="6" w:space="0"/>
              <w:left w:val="single" w:color="000000" w:sz="6" w:space="0"/>
              <w:right w:val="single" w:color="000000" w:sz="6" w:space="0"/>
            </w:tcBorders>
            <w:vAlign w:val="center"/>
          </w:tcPr>
          <w:p>
            <w:pPr>
              <w:pStyle w:val="16"/>
              <w:rPr>
                <w:highlight w:val="none"/>
              </w:rPr>
            </w:pPr>
            <w:r>
              <w:rPr>
                <w:highlight w:val="none"/>
              </w:rPr>
              <w:t>2022</w:t>
            </w:r>
            <w:r>
              <w:rPr>
                <w:rFonts w:hint="eastAsia" w:ascii="宋体" w:cs="宋体"/>
                <w:highlight w:val="none"/>
              </w:rPr>
              <w:t>年</w:t>
            </w:r>
            <w:r>
              <w:rPr>
                <w:highlight w:val="none"/>
              </w:rPr>
              <w:t xml:space="preserve">  </w:t>
            </w:r>
            <w:r>
              <w:rPr>
                <w:rFonts w:hint="eastAsia" w:ascii="宋体" w:cs="宋体"/>
                <w:highlight w:val="none"/>
              </w:rPr>
              <w:t>预留中</w:t>
            </w:r>
            <w:r>
              <w:rPr>
                <w:highlight w:val="none"/>
              </w:rPr>
              <w:t xml:space="preserve">  </w:t>
            </w:r>
            <w:r>
              <w:rPr>
                <w:rFonts w:hint="eastAsia" w:ascii="宋体" w:cs="宋体"/>
                <w:highlight w:val="none"/>
              </w:rPr>
              <w:t>小微企</w:t>
            </w:r>
            <w:r>
              <w:rPr>
                <w:highlight w:val="none"/>
              </w:rPr>
              <w:t xml:space="preserve">  </w:t>
            </w:r>
            <w:r>
              <w:rPr>
                <w:rFonts w:hint="eastAsia" w:ascii="宋体" w:cs="宋体"/>
                <w:highlight w:val="none"/>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项目名称</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预算</w:t>
            </w:r>
            <w:r>
              <w:rPr>
                <w:highlight w:val="none"/>
              </w:rPr>
              <w:t xml:space="preserve">    </w:t>
            </w:r>
            <w:r>
              <w:rPr>
                <w:rFonts w:hint="eastAsia" w:ascii="宋体" w:cs="宋体"/>
                <w:highlight w:val="none"/>
              </w:rPr>
              <w:t>资金</w:t>
            </w:r>
          </w:p>
        </w:tc>
        <w:tc>
          <w:tcPr>
            <w:tcW w:w="1134" w:type="dxa"/>
            <w:vMerge w:val="continue"/>
            <w:tcBorders>
              <w:top w:val="single" w:color="000000" w:sz="6" w:space="0"/>
              <w:left w:val="single" w:color="000000" w:sz="6" w:space="0"/>
              <w:right w:val="single" w:color="000000" w:sz="6" w:space="0"/>
            </w:tcBorders>
          </w:tcPr>
          <w:p/>
        </w:tc>
        <w:tc>
          <w:tcPr>
            <w:tcW w:w="1134" w:type="dxa"/>
            <w:vMerge w:val="continue"/>
            <w:tcBorders>
              <w:top w:val="single" w:color="000000" w:sz="6" w:space="0"/>
              <w:left w:val="single" w:color="000000" w:sz="6" w:space="0"/>
              <w:right w:val="single" w:color="000000" w:sz="6" w:space="0"/>
            </w:tcBorders>
          </w:tcPr>
          <w:p/>
        </w:tc>
        <w:tc>
          <w:tcPr>
            <w:tcW w:w="709" w:type="dxa"/>
            <w:vMerge w:val="continue"/>
            <w:tcBorders>
              <w:top w:val="single" w:color="000000" w:sz="6" w:space="0"/>
              <w:left w:val="single" w:color="000000" w:sz="6" w:space="0"/>
              <w:right w:val="single" w:color="000000" w:sz="6" w:space="0"/>
            </w:tcBorders>
          </w:tcPr>
          <w:p/>
        </w:tc>
        <w:tc>
          <w:tcPr>
            <w:tcW w:w="850" w:type="dxa"/>
            <w:vMerge w:val="continue"/>
            <w:tcBorders>
              <w:top w:val="single" w:color="000000" w:sz="6" w:space="0"/>
              <w:left w:val="single" w:color="000000" w:sz="6" w:space="0"/>
              <w:right w:val="single" w:color="000000" w:sz="6" w:space="0"/>
            </w:tcBorders>
          </w:tcPr>
          <w:p/>
        </w:tc>
        <w:tc>
          <w:tcPr>
            <w:tcW w:w="850" w:type="dxa"/>
            <w:vMerge w:val="continue"/>
            <w:tcBorders>
              <w:top w:val="single" w:color="000000" w:sz="6" w:space="0"/>
              <w:left w:val="single" w:color="000000" w:sz="6" w:space="0"/>
              <w:right w:val="single" w:color="000000" w:sz="6" w:space="0"/>
            </w:tcBorders>
          </w:tcP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合计</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一般公共预算拨款</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基金预算拨款</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国有资本经营预算拨款</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财政专户核拨</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单位</w:t>
            </w:r>
            <w:r>
              <w:rPr>
                <w:highlight w:val="none"/>
              </w:rPr>
              <w:t xml:space="preserve">    </w:t>
            </w:r>
            <w:r>
              <w:rPr>
                <w:rFonts w:hint="eastAsia" w:ascii="宋体" w:cs="宋体"/>
                <w:highlight w:val="none"/>
              </w:rPr>
              <w:t>资金</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财政拨</w:t>
            </w:r>
            <w:r>
              <w:rPr>
                <w:highlight w:val="none"/>
              </w:rPr>
              <w:t xml:space="preserve">    </w:t>
            </w:r>
            <w:r>
              <w:rPr>
                <w:rFonts w:hint="eastAsia" w:ascii="宋体" w:cs="宋体"/>
                <w:highlight w:val="none"/>
              </w:rPr>
              <w:t>款结转</w:t>
            </w:r>
          </w:p>
        </w:tc>
        <w:tc>
          <w:tcPr>
            <w:tcW w:w="964"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非财政</w:t>
            </w:r>
            <w:r>
              <w:rPr>
                <w:highlight w:val="none"/>
              </w:rPr>
              <w:t xml:space="preserve">    </w:t>
            </w:r>
            <w:r>
              <w:rPr>
                <w:rFonts w:hint="eastAsia" w:ascii="宋体" w:cs="宋体"/>
                <w:highlight w:val="none"/>
              </w:rPr>
              <w:t>拨款结</w:t>
            </w:r>
            <w:r>
              <w:rPr>
                <w:highlight w:val="none"/>
              </w:rPr>
              <w:t xml:space="preserve">    </w:t>
            </w:r>
            <w:r>
              <w:rPr>
                <w:rFonts w:hint="eastAsia" w:ascii="宋体" w:cs="宋体"/>
                <w:highlight w:val="none"/>
              </w:rPr>
              <w:t>转结余</w:t>
            </w:r>
          </w:p>
        </w:tc>
        <w:tc>
          <w:tcPr>
            <w:tcW w:w="964" w:type="dxa"/>
            <w:vMerge w:val="continue"/>
            <w:tcBorders>
              <w:top w:val="single" w:color="000000" w:sz="6" w:space="0"/>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tcBorders>
              <w:top w:val="single" w:color="000000" w:sz="6" w:space="0"/>
              <w:left w:val="single" w:color="000000" w:sz="6" w:space="0"/>
              <w:right w:val="single" w:color="000000" w:sz="6" w:space="0"/>
            </w:tcBorders>
            <w:vAlign w:val="center"/>
          </w:tcPr>
          <w:p>
            <w:pPr>
              <w:pStyle w:val="18"/>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1134" w:type="dxa"/>
            <w:tcBorders>
              <w:top w:val="single" w:color="000000" w:sz="6" w:space="0"/>
              <w:left w:val="single" w:color="000000" w:sz="6" w:space="0"/>
              <w:right w:val="single" w:color="000000" w:sz="6" w:space="0"/>
            </w:tcBorders>
            <w:vAlign w:val="center"/>
          </w:tcPr>
          <w:p>
            <w:pPr>
              <w:pStyle w:val="18"/>
              <w:rPr>
                <w:highlight w:val="none"/>
              </w:rPr>
            </w:pPr>
          </w:p>
        </w:tc>
        <w:tc>
          <w:tcPr>
            <w:tcW w:w="1134" w:type="dxa"/>
            <w:tcBorders>
              <w:top w:val="single" w:color="000000" w:sz="6" w:space="0"/>
              <w:left w:val="single" w:color="000000" w:sz="6" w:space="0"/>
              <w:right w:val="single" w:color="000000" w:sz="6" w:space="0"/>
            </w:tcBorders>
            <w:vAlign w:val="center"/>
          </w:tcPr>
          <w:p>
            <w:pPr>
              <w:pStyle w:val="18"/>
              <w:rPr>
                <w:highlight w:val="none"/>
              </w:rPr>
            </w:pPr>
          </w:p>
        </w:tc>
        <w:tc>
          <w:tcPr>
            <w:tcW w:w="709" w:type="dxa"/>
            <w:tcBorders>
              <w:top w:val="single" w:color="000000" w:sz="6" w:space="0"/>
              <w:left w:val="single" w:color="000000" w:sz="6" w:space="0"/>
              <w:right w:val="single" w:color="000000" w:sz="6" w:space="0"/>
            </w:tcBorders>
            <w:vAlign w:val="center"/>
          </w:tcPr>
          <w:p>
            <w:pPr>
              <w:pStyle w:val="19"/>
              <w:rPr>
                <w:highlight w:val="none"/>
              </w:rPr>
            </w:pPr>
          </w:p>
        </w:tc>
        <w:tc>
          <w:tcPr>
            <w:tcW w:w="850" w:type="dxa"/>
            <w:tcBorders>
              <w:top w:val="single" w:color="000000" w:sz="6" w:space="0"/>
              <w:left w:val="single" w:color="000000" w:sz="6" w:space="0"/>
              <w:right w:val="single" w:color="000000" w:sz="6" w:space="0"/>
            </w:tcBorders>
            <w:vAlign w:val="center"/>
          </w:tcPr>
          <w:p>
            <w:pPr>
              <w:pStyle w:val="17"/>
              <w:rPr>
                <w:highlight w:val="none"/>
              </w:rPr>
            </w:pPr>
          </w:p>
        </w:tc>
        <w:tc>
          <w:tcPr>
            <w:tcW w:w="850"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c>
          <w:tcPr>
            <w:tcW w:w="964" w:type="dxa"/>
            <w:tcBorders>
              <w:top w:val="single" w:color="000000" w:sz="6" w:space="0"/>
              <w:left w:val="single" w:color="000000" w:sz="6" w:space="0"/>
              <w:right w:val="single" w:color="000000" w:sz="6" w:space="0"/>
            </w:tcBorders>
            <w:vAlign w:val="center"/>
          </w:tcPr>
          <w:p>
            <w:pPr>
              <w:pStyle w:val="17"/>
              <w:rPr>
                <w:highlight w:val="none"/>
              </w:rPr>
            </w:pPr>
          </w:p>
        </w:tc>
      </w:tr>
    </w:tbl>
    <w:p>
      <w:pPr>
        <w:spacing w:line="500" w:lineRule="exact"/>
        <w:ind w:firstLine="420"/>
        <w:rPr>
          <w:highlight w:val="none"/>
        </w:rPr>
      </w:pPr>
      <w:r>
        <w:rPr>
          <w:rFonts w:hint="eastAsia" w:ascii="宋体" w:cs="宋体"/>
          <w:color w:val="000000"/>
          <w:sz w:val="21"/>
          <w:highlight w:val="none"/>
        </w:rPr>
        <w:t>注：同一采购目录序号的物品，其单价会因配置规格不同而变动，均符合资产配置标准。涉密采购事项按照相关规定执行。</w:t>
      </w:r>
    </w:p>
    <w:p>
      <w:pPr>
        <w:ind w:firstLine="420"/>
        <w:rPr>
          <w:highlight w:val="none"/>
        </w:rPr>
      </w:pPr>
      <w:r>
        <w:rPr>
          <w:rFonts w:hint="eastAsia" w:ascii="宋体" w:cs="宋体"/>
          <w:color w:val="000000"/>
          <w:sz w:val="21"/>
          <w:highlight w:val="none"/>
        </w:rPr>
        <w:t>注：无政府采购预算，空表列示。</w:t>
      </w:r>
    </w:p>
    <w:p>
      <w:pPr>
        <w:ind w:firstLine="640"/>
        <w:rPr>
          <w:highlight w:val="none"/>
        </w:rPr>
      </w:pPr>
      <w:r>
        <w:rPr>
          <w:rFonts w:eastAsia="Times New Roman"/>
          <w:color w:val="000000"/>
          <w:sz w:val="32"/>
          <w:highlight w:val="none"/>
        </w:rPr>
        <w:t xml:space="preserve"> </w:t>
      </w:r>
    </w:p>
    <w:p>
      <w:pPr>
        <w:spacing w:before="10" w:after="10"/>
        <w:ind w:firstLine="640"/>
        <w:outlineLvl w:val="2"/>
        <w:rPr>
          <w:highlight w:val="none"/>
        </w:rPr>
      </w:pPr>
      <w:bookmarkStart w:id="15" w:name="_Toc30902881"/>
      <w:r>
        <w:rPr>
          <w:rFonts w:hint="eastAsia" w:ascii="黑体" w:eastAsia="黑体" w:cs="黑体"/>
          <w:color w:val="000000"/>
          <w:sz w:val="32"/>
          <w:highlight w:val="none"/>
        </w:rPr>
        <w:t>七、国有资产信息</w:t>
      </w:r>
      <w:bookmarkEnd w:id="15"/>
    </w:p>
    <w:p>
      <w:pPr>
        <w:spacing w:line="500" w:lineRule="exact"/>
        <w:ind w:firstLine="560"/>
        <w:rPr>
          <w:highlight w:val="none"/>
        </w:rPr>
      </w:pPr>
      <w:r>
        <w:rPr>
          <w:rFonts w:hint="eastAsia" w:ascii="宋体" w:cs="宋体"/>
          <w:color w:val="000000"/>
          <w:sz w:val="28"/>
          <w:highlight w:val="none"/>
        </w:rPr>
        <w:t>灵寿县青同镇人民政府（含所属单位）上年末固定资产金额为</w:t>
      </w:r>
      <w:r>
        <w:rPr>
          <w:rFonts w:eastAsia="Times New Roman"/>
          <w:color w:val="000000"/>
          <w:sz w:val="28"/>
          <w:highlight w:val="none"/>
        </w:rPr>
        <w:t>172.44</w:t>
      </w:r>
      <w:r>
        <w:rPr>
          <w:rFonts w:hint="eastAsia" w:ascii="宋体" w:cs="宋体"/>
          <w:color w:val="000000"/>
          <w:sz w:val="28"/>
          <w:highlight w:val="none"/>
        </w:rPr>
        <w:t>万元（详见下表）。本年度拟购置固定资产总额为</w:t>
      </w:r>
      <w:r>
        <w:rPr>
          <w:rFonts w:eastAsia="Times New Roman"/>
          <w:color w:val="000000"/>
          <w:sz w:val="28"/>
          <w:highlight w:val="none"/>
        </w:rPr>
        <w:t>0.00</w:t>
      </w:r>
      <w:r>
        <w:rPr>
          <w:rFonts w:hint="eastAsia" w:ascii="宋体" w:cs="宋体"/>
          <w:color w:val="000000"/>
          <w:sz w:val="28"/>
          <w:highlight w:val="none"/>
        </w:rPr>
        <w:t>万元，已按要求列入政府采购预算，详见政府采购预算表。</w:t>
      </w:r>
    </w:p>
    <w:p>
      <w:pPr>
        <w:jc w:val="center"/>
        <w:rPr>
          <w:highlight w:val="none"/>
        </w:rPr>
      </w:pPr>
      <w:r>
        <w:rPr>
          <w:rFonts w:hint="eastAsia" w:ascii="方正小标宋_GBK" w:eastAsia="方正小标宋_GBK" w:cs="方正小标宋_GBK"/>
          <w:color w:val="000000"/>
          <w:sz w:val="36"/>
          <w:highlight w:val="none"/>
        </w:rPr>
        <w:t>部门固定资产占用情况表</w:t>
      </w:r>
    </w:p>
    <w:tbl>
      <w:tblPr>
        <w:tblStyle w:val="11"/>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rPr>
                <w:highlight w:val="none"/>
              </w:rPr>
            </w:pPr>
            <w:r>
              <w:rPr>
                <w:highlight w:val="none"/>
              </w:rPr>
              <w:t>987</w:t>
            </w:r>
            <w:r>
              <w:rPr>
                <w:rFonts w:hint="eastAsia"/>
                <w:highlight w:val="none"/>
              </w:rPr>
              <w:t>灵寿县青同镇人民政府</w:t>
            </w:r>
          </w:p>
        </w:tc>
        <w:tc>
          <w:tcPr>
            <w:tcW w:w="5670" w:type="dxa"/>
            <w:gridSpan w:val="2"/>
            <w:tcBorders>
              <w:top w:val="single" w:color="FFFFFF" w:sz="6" w:space="0"/>
              <w:left w:val="single" w:color="FFFFFF" w:sz="6" w:space="0"/>
              <w:right w:val="single" w:color="FFFFFF" w:sz="6" w:space="0"/>
            </w:tcBorders>
            <w:vAlign w:val="center"/>
          </w:tcPr>
          <w:p>
            <w:pPr>
              <w:pStyle w:val="13"/>
              <w:rPr>
                <w:highlight w:val="none"/>
              </w:rPr>
            </w:pPr>
            <w:r>
              <w:rPr>
                <w:rFonts w:hint="eastAsia"/>
                <w:highlight w:val="none"/>
              </w:rPr>
              <w:t>截止时间：</w:t>
            </w:r>
            <w:r>
              <w:rPr>
                <w:highlight w:val="none"/>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项</w:t>
            </w:r>
            <w:r>
              <w:rPr>
                <w:highlight w:val="none"/>
              </w:rPr>
              <w:t xml:space="preserve">   </w:t>
            </w:r>
            <w:r>
              <w:rPr>
                <w:rFonts w:hint="eastAsia" w:ascii="宋体" w:cs="宋体"/>
                <w:highlight w:val="none"/>
              </w:rPr>
              <w:t>目</w:t>
            </w:r>
          </w:p>
        </w:tc>
        <w:tc>
          <w:tcPr>
            <w:tcW w:w="28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数量</w:t>
            </w:r>
          </w:p>
        </w:tc>
        <w:tc>
          <w:tcPr>
            <w:tcW w:w="2835" w:type="dxa"/>
            <w:tcBorders>
              <w:top w:val="single" w:color="000000" w:sz="6" w:space="0"/>
              <w:left w:val="single" w:color="000000" w:sz="6" w:space="0"/>
              <w:right w:val="single" w:color="000000" w:sz="6" w:space="0"/>
            </w:tcBorders>
            <w:vAlign w:val="center"/>
          </w:tcPr>
          <w:p>
            <w:pPr>
              <w:pStyle w:val="16"/>
              <w:rPr>
                <w:highlight w:val="none"/>
              </w:rPr>
            </w:pPr>
            <w:r>
              <w:rPr>
                <w:rFonts w:hint="eastAsia" w:ascii="宋体" w:cs="宋体"/>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资产总额</w:t>
            </w:r>
          </w:p>
        </w:tc>
        <w:tc>
          <w:tcPr>
            <w:tcW w:w="2835" w:type="dxa"/>
            <w:tcBorders>
              <w:top w:val="single" w:color="000000" w:sz="6" w:space="0"/>
              <w:left w:val="single" w:color="000000" w:sz="6" w:space="0"/>
              <w:right w:val="single" w:color="000000" w:sz="6" w:space="0"/>
            </w:tcBorders>
            <w:vAlign w:val="center"/>
          </w:tcPr>
          <w:p>
            <w:pPr>
              <w:pStyle w:val="19"/>
              <w:rPr>
                <w:highlight w:val="none"/>
              </w:rPr>
            </w:pPr>
          </w:p>
        </w:tc>
        <w:tc>
          <w:tcPr>
            <w:tcW w:w="2835"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pPr>
              <w:pStyle w:val="18"/>
              <w:rPr>
                <w:highlight w:val="none"/>
              </w:rPr>
            </w:pPr>
            <w:r>
              <w:rPr>
                <w:highlight w:val="none"/>
              </w:rPr>
              <w:t>1</w:t>
            </w:r>
            <w:r>
              <w:rPr>
                <w:rFonts w:hint="eastAsia" w:ascii="宋体" w:cs="宋体"/>
                <w:highlight w:val="none"/>
              </w:rPr>
              <w:t>、房屋（平方米）</w:t>
            </w:r>
          </w:p>
        </w:tc>
        <w:tc>
          <w:tcPr>
            <w:tcW w:w="2835"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2837.10</w:t>
            </w:r>
          </w:p>
        </w:tc>
        <w:tc>
          <w:tcPr>
            <w:tcW w:w="2835"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148.06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pPr>
              <w:pStyle w:val="18"/>
              <w:rPr>
                <w:highlight w:val="none"/>
              </w:rPr>
            </w:pPr>
            <w:r>
              <w:rPr>
                <w:rFonts w:hint="eastAsia" w:ascii="宋体" w:cs="宋体"/>
                <w:highlight w:val="none"/>
              </w:rPr>
              <w:t>　　其中：办公用房（平方米）</w:t>
            </w:r>
          </w:p>
        </w:tc>
        <w:tc>
          <w:tcPr>
            <w:tcW w:w="2835" w:type="dxa"/>
            <w:tcBorders>
              <w:top w:val="single" w:color="000000" w:sz="6" w:space="0"/>
              <w:left w:val="single" w:color="000000" w:sz="6" w:space="0"/>
              <w:right w:val="single" w:color="000000" w:sz="6" w:space="0"/>
            </w:tcBorders>
            <w:vAlign w:val="center"/>
          </w:tcPr>
          <w:p>
            <w:pPr>
              <w:pStyle w:val="19"/>
              <w:rPr>
                <w:highlight w:val="none"/>
              </w:rPr>
            </w:pPr>
            <w:r>
              <w:rPr>
                <w:highlight w:val="none"/>
              </w:rPr>
              <w:t>2837.10</w:t>
            </w:r>
          </w:p>
        </w:tc>
        <w:tc>
          <w:tcPr>
            <w:tcW w:w="2835" w:type="dxa"/>
            <w:tcBorders>
              <w:top w:val="single" w:color="000000" w:sz="6" w:space="0"/>
              <w:left w:val="single" w:color="000000" w:sz="6" w:space="0"/>
              <w:right w:val="single" w:color="000000" w:sz="6" w:space="0"/>
            </w:tcBorders>
            <w:vAlign w:val="center"/>
          </w:tcPr>
          <w:p>
            <w:pPr>
              <w:pStyle w:val="17"/>
              <w:rPr>
                <w:highlight w:val="none"/>
              </w:rPr>
            </w:pPr>
            <w:r>
              <w:rPr>
                <w:highlight w:val="none"/>
              </w:rPr>
              <w:t>148.06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pPr>
              <w:pStyle w:val="18"/>
              <w:rPr>
                <w:highlight w:val="none"/>
              </w:rPr>
            </w:pPr>
            <w:r>
              <w:rPr>
                <w:highlight w:val="none"/>
              </w:rPr>
              <w:t>2</w:t>
            </w:r>
            <w:r>
              <w:rPr>
                <w:rFonts w:hint="eastAsia" w:ascii="宋体" w:cs="宋体"/>
                <w:highlight w:val="none"/>
              </w:rPr>
              <w:t>、车辆（台、辆）</w:t>
            </w:r>
          </w:p>
        </w:tc>
        <w:tc>
          <w:tcPr>
            <w:tcW w:w="2835" w:type="dxa"/>
            <w:tcBorders>
              <w:top w:val="single" w:color="000000" w:sz="6" w:space="0"/>
              <w:left w:val="single" w:color="000000" w:sz="6" w:space="0"/>
              <w:right w:val="single" w:color="000000" w:sz="6" w:space="0"/>
            </w:tcBorders>
            <w:vAlign w:val="center"/>
          </w:tcPr>
          <w:p>
            <w:pPr>
              <w:pStyle w:val="19"/>
              <w:rPr>
                <w:highlight w:val="none"/>
              </w:rPr>
            </w:pPr>
            <w:r>
              <w:rPr>
                <w:highlight w:val="none"/>
              </w:rPr>
              <w:t>3</w:t>
            </w:r>
          </w:p>
        </w:tc>
        <w:tc>
          <w:tcPr>
            <w:tcW w:w="2835" w:type="dxa"/>
            <w:tcBorders>
              <w:top w:val="single" w:color="000000" w:sz="6" w:space="0"/>
              <w:left w:val="single" w:color="000000" w:sz="6" w:space="0"/>
              <w:right w:val="single" w:color="000000" w:sz="6" w:space="0"/>
            </w:tcBorders>
            <w:vAlign w:val="center"/>
          </w:tcPr>
          <w:p>
            <w:pPr>
              <w:pStyle w:val="17"/>
              <w:rPr>
                <w:highlight w:val="none"/>
              </w:rPr>
            </w:pPr>
            <w:r>
              <w:rPr>
                <w:highlight w:val="none"/>
              </w:rPr>
              <w:t>24.38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pPr>
              <w:pStyle w:val="18"/>
              <w:rPr>
                <w:highlight w:val="none"/>
              </w:rPr>
            </w:pPr>
            <w:r>
              <w:rPr>
                <w:highlight w:val="none"/>
              </w:rPr>
              <w:t>3</w:t>
            </w:r>
            <w:r>
              <w:rPr>
                <w:rFonts w:hint="eastAsia" w:ascii="宋体" w:cs="宋体"/>
                <w:highlight w:val="none"/>
              </w:rPr>
              <w:t>、单价在</w:t>
            </w:r>
            <w:r>
              <w:rPr>
                <w:highlight w:val="none"/>
              </w:rPr>
              <w:t>20</w:t>
            </w:r>
            <w:r>
              <w:rPr>
                <w:rFonts w:hint="eastAsia" w:ascii="宋体" w:cs="宋体"/>
                <w:highlight w:val="none"/>
              </w:rPr>
              <w:t>万元以上的设备</w:t>
            </w:r>
          </w:p>
        </w:tc>
        <w:tc>
          <w:tcPr>
            <w:tcW w:w="2835" w:type="dxa"/>
            <w:tcBorders>
              <w:top w:val="single" w:color="000000" w:sz="6" w:space="0"/>
              <w:left w:val="single" w:color="000000" w:sz="6" w:space="0"/>
              <w:right w:val="single" w:color="000000" w:sz="6" w:space="0"/>
            </w:tcBorders>
            <w:vAlign w:val="center"/>
          </w:tcPr>
          <w:p>
            <w:pPr>
              <w:pStyle w:val="19"/>
              <w:rPr>
                <w:highlight w:val="none"/>
              </w:rPr>
            </w:pPr>
          </w:p>
        </w:tc>
        <w:tc>
          <w:tcPr>
            <w:tcW w:w="2835" w:type="dxa"/>
            <w:tcBorders>
              <w:top w:val="single" w:color="000000" w:sz="6" w:space="0"/>
              <w:left w:val="single" w:color="000000" w:sz="6" w:space="0"/>
              <w:right w:val="single" w:color="000000" w:sz="6" w:space="0"/>
            </w:tcBorders>
            <w:vAlign w:val="center"/>
          </w:tcPr>
          <w:p>
            <w:pPr>
              <w:pStyle w:val="17"/>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tcBorders>
              <w:top w:val="single" w:color="000000" w:sz="6" w:space="0"/>
              <w:left w:val="single" w:color="000000" w:sz="6" w:space="0"/>
              <w:right w:val="single" w:color="000000" w:sz="6" w:space="0"/>
            </w:tcBorders>
            <w:vAlign w:val="center"/>
          </w:tcPr>
          <w:p>
            <w:pPr>
              <w:pStyle w:val="18"/>
              <w:rPr>
                <w:highlight w:val="none"/>
              </w:rPr>
            </w:pPr>
            <w:r>
              <w:rPr>
                <w:highlight w:val="none"/>
              </w:rPr>
              <w:t>4</w:t>
            </w:r>
            <w:r>
              <w:rPr>
                <w:rFonts w:hint="eastAsia" w:ascii="宋体" w:cs="宋体"/>
                <w:highlight w:val="none"/>
              </w:rPr>
              <w:t>、其他固定资产</w:t>
            </w:r>
          </w:p>
        </w:tc>
        <w:tc>
          <w:tcPr>
            <w:tcW w:w="2835" w:type="dxa"/>
            <w:tcBorders>
              <w:top w:val="single" w:color="000000" w:sz="6" w:space="0"/>
              <w:left w:val="single" w:color="000000" w:sz="6" w:space="0"/>
              <w:right w:val="single" w:color="000000" w:sz="6" w:space="0"/>
            </w:tcBorders>
            <w:vAlign w:val="center"/>
          </w:tcPr>
          <w:p>
            <w:pPr>
              <w:pStyle w:val="19"/>
              <w:rPr>
                <w:highlight w:val="none"/>
              </w:rPr>
            </w:pPr>
          </w:p>
        </w:tc>
        <w:tc>
          <w:tcPr>
            <w:tcW w:w="2835" w:type="dxa"/>
            <w:tcBorders>
              <w:top w:val="single" w:color="000000" w:sz="6" w:space="0"/>
              <w:left w:val="single" w:color="000000" w:sz="6" w:space="0"/>
              <w:right w:val="single" w:color="000000" w:sz="6" w:space="0"/>
            </w:tcBorders>
            <w:vAlign w:val="center"/>
          </w:tcPr>
          <w:p>
            <w:pPr>
              <w:pStyle w:val="17"/>
              <w:rPr>
                <w:highlight w:val="none"/>
              </w:rPr>
            </w:pPr>
          </w:p>
        </w:tc>
      </w:tr>
    </w:tbl>
    <w:p>
      <w:pPr>
        <w:ind w:firstLine="640"/>
        <w:rPr>
          <w:highlight w:val="none"/>
        </w:rPr>
      </w:pPr>
      <w:r>
        <w:rPr>
          <w:rFonts w:eastAsia="Times New Roman"/>
          <w:color w:val="000000"/>
          <w:sz w:val="32"/>
          <w:highlight w:val="none"/>
        </w:rPr>
        <w:t xml:space="preserve"> </w:t>
      </w:r>
    </w:p>
    <w:p>
      <w:pPr>
        <w:spacing w:before="10" w:after="10"/>
        <w:ind w:firstLine="640"/>
        <w:outlineLvl w:val="2"/>
        <w:rPr>
          <w:highlight w:val="none"/>
        </w:rPr>
      </w:pPr>
      <w:bookmarkStart w:id="16" w:name="_Toc30902882"/>
      <w:r>
        <w:rPr>
          <w:rFonts w:hint="eastAsia" w:ascii="黑体" w:eastAsia="黑体" w:cs="黑体"/>
          <w:color w:val="000000"/>
          <w:sz w:val="32"/>
          <w:highlight w:val="none"/>
        </w:rPr>
        <w:t>八、名词解释</w:t>
      </w:r>
      <w:bookmarkEnd w:id="16"/>
    </w:p>
    <w:p>
      <w:pPr>
        <w:spacing w:line="500" w:lineRule="exact"/>
        <w:ind w:firstLine="560"/>
        <w:rPr>
          <w:highlight w:val="none"/>
        </w:rPr>
      </w:pPr>
      <w:r>
        <w:rPr>
          <w:rFonts w:eastAsia="Times New Roman"/>
          <w:color w:val="000000"/>
          <w:sz w:val="28"/>
          <w:highlight w:val="none"/>
        </w:rPr>
        <w:t>1</w:t>
      </w:r>
      <w:r>
        <w:rPr>
          <w:rFonts w:hint="eastAsia" w:ascii="宋体" w:cs="宋体"/>
          <w:color w:val="000000"/>
          <w:sz w:val="28"/>
          <w:highlight w:val="none"/>
        </w:rPr>
        <w:t>、</w:t>
      </w:r>
      <w:r>
        <w:rPr>
          <w:rFonts w:hint="eastAsia" w:ascii="宋体" w:cs="宋体"/>
          <w:b/>
          <w:color w:val="000000"/>
          <w:sz w:val="28"/>
          <w:highlight w:val="none"/>
        </w:rPr>
        <w:t>一般公共预算拨款收入：</w:t>
      </w:r>
      <w:r>
        <w:rPr>
          <w:rFonts w:hint="eastAsia" w:ascii="宋体" w:cs="宋体"/>
          <w:color w:val="000000"/>
          <w:sz w:val="28"/>
          <w:highlight w:val="none"/>
        </w:rPr>
        <w:t>指财政当年拨付的资金。</w:t>
      </w:r>
    </w:p>
    <w:p>
      <w:pPr>
        <w:spacing w:line="500" w:lineRule="exact"/>
        <w:ind w:firstLine="560"/>
        <w:rPr>
          <w:highlight w:val="none"/>
        </w:rPr>
      </w:pPr>
      <w:r>
        <w:rPr>
          <w:rFonts w:eastAsia="Times New Roman"/>
          <w:color w:val="000000"/>
          <w:sz w:val="28"/>
          <w:highlight w:val="none"/>
        </w:rPr>
        <w:t>2</w:t>
      </w:r>
      <w:r>
        <w:rPr>
          <w:rFonts w:hint="eastAsia" w:ascii="宋体" w:cs="宋体"/>
          <w:color w:val="000000"/>
          <w:sz w:val="28"/>
          <w:highlight w:val="none"/>
        </w:rPr>
        <w:t>、</w:t>
      </w:r>
      <w:r>
        <w:rPr>
          <w:rFonts w:hint="eastAsia" w:ascii="宋体" w:cs="宋体"/>
          <w:b/>
          <w:color w:val="000000"/>
          <w:sz w:val="28"/>
          <w:highlight w:val="none"/>
        </w:rPr>
        <w:t>事业收入：</w:t>
      </w:r>
      <w:r>
        <w:rPr>
          <w:rFonts w:hint="eastAsia" w:ascii="宋体" w:cs="宋体"/>
          <w:color w:val="000000"/>
          <w:sz w:val="28"/>
          <w:highlight w:val="none"/>
        </w:rPr>
        <w:t>指事业单位开展专业业务活动及辅助活动所取得的收入。</w:t>
      </w:r>
    </w:p>
    <w:p>
      <w:pPr>
        <w:spacing w:line="500" w:lineRule="exact"/>
        <w:ind w:firstLine="560"/>
        <w:rPr>
          <w:highlight w:val="none"/>
        </w:rPr>
      </w:pPr>
      <w:r>
        <w:rPr>
          <w:rFonts w:eastAsia="Times New Roman"/>
          <w:color w:val="000000"/>
          <w:sz w:val="28"/>
          <w:highlight w:val="none"/>
        </w:rPr>
        <w:t>3</w:t>
      </w:r>
      <w:r>
        <w:rPr>
          <w:rFonts w:hint="eastAsia" w:ascii="宋体" w:cs="宋体"/>
          <w:color w:val="000000"/>
          <w:sz w:val="28"/>
          <w:highlight w:val="none"/>
        </w:rPr>
        <w:t>、</w:t>
      </w:r>
      <w:r>
        <w:rPr>
          <w:rFonts w:hint="eastAsia" w:ascii="宋体" w:cs="宋体"/>
          <w:b/>
          <w:color w:val="000000"/>
          <w:sz w:val="28"/>
          <w:highlight w:val="none"/>
        </w:rPr>
        <w:t>其他收入：</w:t>
      </w:r>
      <w:r>
        <w:rPr>
          <w:rFonts w:hint="eastAsia" w:ascii="宋体" w:cs="宋体"/>
          <w:color w:val="000000"/>
          <w:sz w:val="28"/>
          <w:highlight w:val="none"/>
        </w:rPr>
        <w:t>指除</w:t>
      </w:r>
      <w:r>
        <w:rPr>
          <w:rFonts w:eastAsia="Times New Roman"/>
          <w:color w:val="000000"/>
          <w:sz w:val="28"/>
          <w:highlight w:val="none"/>
        </w:rPr>
        <w:t>“</w:t>
      </w:r>
      <w:r>
        <w:rPr>
          <w:rFonts w:hint="eastAsia" w:ascii="宋体" w:cs="宋体"/>
          <w:color w:val="000000"/>
          <w:sz w:val="28"/>
          <w:highlight w:val="none"/>
        </w:rPr>
        <w:t>一般公共预算拨款收入</w:t>
      </w:r>
      <w:r>
        <w:rPr>
          <w:rFonts w:eastAsia="Times New Roman"/>
          <w:color w:val="000000"/>
          <w:sz w:val="28"/>
          <w:highlight w:val="none"/>
        </w:rPr>
        <w:t>”</w:t>
      </w:r>
      <w:r>
        <w:rPr>
          <w:rFonts w:hint="eastAsia" w:ascii="宋体" w:cs="宋体"/>
          <w:color w:val="000000"/>
          <w:sz w:val="28"/>
          <w:highlight w:val="none"/>
        </w:rPr>
        <w:t>、</w:t>
      </w:r>
      <w:r>
        <w:rPr>
          <w:rFonts w:eastAsia="Times New Roman"/>
          <w:color w:val="000000"/>
          <w:sz w:val="28"/>
          <w:highlight w:val="none"/>
        </w:rPr>
        <w:t>“</w:t>
      </w:r>
      <w:r>
        <w:rPr>
          <w:rFonts w:hint="eastAsia" w:ascii="宋体" w:cs="宋体"/>
          <w:color w:val="000000"/>
          <w:sz w:val="28"/>
          <w:highlight w:val="none"/>
        </w:rPr>
        <w:t>事业收入</w:t>
      </w:r>
      <w:r>
        <w:rPr>
          <w:rFonts w:eastAsia="Times New Roman"/>
          <w:color w:val="000000"/>
          <w:sz w:val="28"/>
          <w:highlight w:val="none"/>
        </w:rPr>
        <w:t>”</w:t>
      </w:r>
      <w:r>
        <w:rPr>
          <w:rFonts w:hint="eastAsia" w:ascii="宋体" w:cs="宋体"/>
          <w:color w:val="000000"/>
          <w:sz w:val="28"/>
          <w:highlight w:val="none"/>
        </w:rPr>
        <w:t>等以外的收入。主要是按规定动用的租房收入、存款利息收入等。</w:t>
      </w:r>
    </w:p>
    <w:p>
      <w:pPr>
        <w:spacing w:line="500" w:lineRule="exact"/>
        <w:ind w:firstLine="560"/>
        <w:rPr>
          <w:highlight w:val="none"/>
        </w:rPr>
      </w:pPr>
      <w:r>
        <w:rPr>
          <w:rFonts w:eastAsia="Times New Roman"/>
          <w:color w:val="000000"/>
          <w:sz w:val="28"/>
          <w:highlight w:val="none"/>
        </w:rPr>
        <w:t>4</w:t>
      </w:r>
      <w:r>
        <w:rPr>
          <w:rFonts w:hint="eastAsia" w:ascii="宋体" w:cs="宋体"/>
          <w:color w:val="000000"/>
          <w:sz w:val="28"/>
          <w:highlight w:val="none"/>
        </w:rPr>
        <w:t>、</w:t>
      </w:r>
      <w:r>
        <w:rPr>
          <w:rFonts w:hint="eastAsia" w:ascii="宋体" w:cs="宋体"/>
          <w:b/>
          <w:color w:val="000000"/>
          <w:sz w:val="28"/>
          <w:highlight w:val="none"/>
        </w:rPr>
        <w:t>基本支出：</w:t>
      </w:r>
      <w:r>
        <w:rPr>
          <w:rFonts w:hint="eastAsia" w:ascii="宋体" w:cs="宋体"/>
          <w:color w:val="000000"/>
          <w:sz w:val="28"/>
          <w:highlight w:val="none"/>
        </w:rPr>
        <w:t>指为保障机构正常运转、完成日常工作任务而发生的人员支出和公用支出。</w:t>
      </w:r>
    </w:p>
    <w:p>
      <w:pPr>
        <w:spacing w:line="500" w:lineRule="exact"/>
        <w:ind w:firstLine="560"/>
        <w:rPr>
          <w:highlight w:val="none"/>
        </w:rPr>
      </w:pPr>
      <w:r>
        <w:rPr>
          <w:rFonts w:eastAsia="Times New Roman"/>
          <w:color w:val="000000"/>
          <w:sz w:val="28"/>
          <w:highlight w:val="none"/>
        </w:rPr>
        <w:t>5</w:t>
      </w:r>
      <w:r>
        <w:rPr>
          <w:rFonts w:hint="eastAsia" w:ascii="宋体" w:cs="宋体"/>
          <w:color w:val="000000"/>
          <w:sz w:val="28"/>
          <w:highlight w:val="none"/>
        </w:rPr>
        <w:t>、</w:t>
      </w:r>
      <w:r>
        <w:rPr>
          <w:rFonts w:hint="eastAsia" w:ascii="宋体" w:cs="宋体"/>
          <w:b/>
          <w:color w:val="000000"/>
          <w:sz w:val="28"/>
          <w:highlight w:val="none"/>
        </w:rPr>
        <w:t>项目支出：</w:t>
      </w:r>
      <w:r>
        <w:rPr>
          <w:rFonts w:hint="eastAsia" w:ascii="宋体" w:cs="宋体"/>
          <w:color w:val="000000"/>
          <w:sz w:val="28"/>
          <w:highlight w:val="none"/>
        </w:rPr>
        <w:t>指在基本支出之外为完成特定行政任务和事业发展目标所发生的支出。</w:t>
      </w:r>
    </w:p>
    <w:p>
      <w:pPr>
        <w:spacing w:line="500" w:lineRule="exact"/>
        <w:ind w:firstLine="560"/>
        <w:rPr>
          <w:highlight w:val="none"/>
        </w:rPr>
      </w:pPr>
      <w:r>
        <w:rPr>
          <w:rFonts w:eastAsia="Times New Roman"/>
          <w:color w:val="000000"/>
          <w:sz w:val="28"/>
          <w:highlight w:val="none"/>
        </w:rPr>
        <w:t>6</w:t>
      </w:r>
      <w:r>
        <w:rPr>
          <w:rFonts w:hint="eastAsia" w:ascii="宋体" w:cs="宋体"/>
          <w:color w:val="000000"/>
          <w:sz w:val="28"/>
          <w:highlight w:val="none"/>
        </w:rPr>
        <w:t>、</w:t>
      </w:r>
      <w:r>
        <w:rPr>
          <w:rFonts w:hint="eastAsia" w:ascii="宋体" w:cs="宋体"/>
          <w:b/>
          <w:color w:val="000000"/>
          <w:sz w:val="28"/>
          <w:highlight w:val="none"/>
        </w:rPr>
        <w:t>上缴上级支出：</w:t>
      </w:r>
      <w:r>
        <w:rPr>
          <w:rFonts w:hint="eastAsia" w:ascii="宋体" w:cs="宋体"/>
          <w:color w:val="000000"/>
          <w:sz w:val="28"/>
          <w:highlight w:val="none"/>
        </w:rPr>
        <w:t>指下级单位上缴上级的支出。</w:t>
      </w:r>
    </w:p>
    <w:p>
      <w:pPr>
        <w:spacing w:line="500" w:lineRule="exact"/>
        <w:ind w:firstLine="560"/>
        <w:rPr>
          <w:highlight w:val="none"/>
        </w:rPr>
      </w:pPr>
      <w:r>
        <w:rPr>
          <w:rFonts w:eastAsia="Times New Roman"/>
          <w:color w:val="000000"/>
          <w:sz w:val="28"/>
          <w:highlight w:val="none"/>
        </w:rPr>
        <w:t>7</w:t>
      </w:r>
      <w:r>
        <w:rPr>
          <w:rFonts w:hint="eastAsia" w:ascii="宋体" w:cs="宋体"/>
          <w:color w:val="000000"/>
          <w:sz w:val="28"/>
          <w:highlight w:val="none"/>
        </w:rPr>
        <w:t>、</w:t>
      </w:r>
      <w:r>
        <w:rPr>
          <w:rFonts w:eastAsia="Times New Roman"/>
          <w:b/>
          <w:color w:val="000000"/>
          <w:sz w:val="28"/>
          <w:highlight w:val="none"/>
        </w:rPr>
        <w:t>“</w:t>
      </w:r>
      <w:r>
        <w:rPr>
          <w:rFonts w:hint="eastAsia" w:ascii="宋体" w:cs="宋体"/>
          <w:b/>
          <w:color w:val="000000"/>
          <w:sz w:val="28"/>
          <w:highlight w:val="none"/>
        </w:rPr>
        <w:t>三公</w:t>
      </w:r>
      <w:r>
        <w:rPr>
          <w:rFonts w:eastAsia="Times New Roman"/>
          <w:b/>
          <w:color w:val="000000"/>
          <w:sz w:val="28"/>
          <w:highlight w:val="none"/>
        </w:rPr>
        <w:t>”</w:t>
      </w:r>
      <w:r>
        <w:rPr>
          <w:rFonts w:hint="eastAsia" w:ascii="宋体" w:cs="宋体"/>
          <w:b/>
          <w:color w:val="000000"/>
          <w:sz w:val="28"/>
          <w:highlight w:val="none"/>
        </w:rPr>
        <w:t>经费：</w:t>
      </w:r>
      <w:r>
        <w:rPr>
          <w:rFonts w:hint="eastAsia" w:ascii="宋体" w:cs="宋体"/>
          <w:color w:val="000000"/>
          <w:sz w:val="28"/>
          <w:highlight w:val="none"/>
        </w:rPr>
        <w:t>纳入财政预算管理的</w:t>
      </w:r>
      <w:r>
        <w:rPr>
          <w:rFonts w:eastAsia="Times New Roman"/>
          <w:color w:val="000000"/>
          <w:sz w:val="28"/>
          <w:highlight w:val="none"/>
        </w:rPr>
        <w:t>“</w:t>
      </w:r>
      <w:r>
        <w:rPr>
          <w:rFonts w:hint="eastAsia" w:ascii="宋体" w:cs="宋体"/>
          <w:color w:val="000000"/>
          <w:sz w:val="28"/>
          <w:highlight w:val="none"/>
        </w:rPr>
        <w:t>三公</w:t>
      </w:r>
      <w:r>
        <w:rPr>
          <w:rFonts w:eastAsia="Times New Roman"/>
          <w:color w:val="000000"/>
          <w:sz w:val="28"/>
          <w:highlight w:val="none"/>
        </w:rPr>
        <w:t>”</w:t>
      </w:r>
      <w:r>
        <w:rPr>
          <w:rFonts w:hint="eastAsia" w:ascii="宋体" w:cs="宋体"/>
          <w:color w:val="000000"/>
          <w:sz w:val="28"/>
          <w:highlight w:val="none"/>
        </w:rPr>
        <w:t>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highlight w:val="none"/>
        </w:rPr>
      </w:pPr>
      <w:r>
        <w:rPr>
          <w:rFonts w:eastAsia="Times New Roman"/>
          <w:color w:val="000000"/>
          <w:sz w:val="28"/>
          <w:highlight w:val="none"/>
        </w:rPr>
        <w:t>8</w:t>
      </w:r>
      <w:r>
        <w:rPr>
          <w:rFonts w:hint="eastAsia" w:ascii="宋体" w:cs="宋体"/>
          <w:color w:val="000000"/>
          <w:sz w:val="28"/>
          <w:highlight w:val="none"/>
        </w:rPr>
        <w:t>、</w:t>
      </w:r>
      <w:r>
        <w:rPr>
          <w:rFonts w:hint="eastAsia" w:ascii="宋体" w:cs="宋体"/>
          <w:b/>
          <w:color w:val="000000"/>
          <w:sz w:val="28"/>
          <w:highlight w:val="none"/>
        </w:rPr>
        <w:t>机关运行费：</w:t>
      </w:r>
      <w:r>
        <w:rPr>
          <w:rFonts w:hint="eastAsia" w:ascii="宋体" w:cs="宋体"/>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highlight w:val="none"/>
        </w:rPr>
      </w:pPr>
      <w:r>
        <w:rPr>
          <w:rFonts w:eastAsia="Times New Roman"/>
          <w:color w:val="000000"/>
          <w:sz w:val="28"/>
          <w:highlight w:val="none"/>
        </w:rPr>
        <w:t>9</w:t>
      </w:r>
      <w:r>
        <w:rPr>
          <w:rFonts w:hint="eastAsia" w:ascii="宋体" w:cs="宋体"/>
          <w:color w:val="000000"/>
          <w:sz w:val="28"/>
          <w:highlight w:val="none"/>
        </w:rPr>
        <w:t>、</w:t>
      </w:r>
      <w:r>
        <w:rPr>
          <w:rFonts w:hint="eastAsia" w:ascii="宋体" w:cs="宋体"/>
          <w:b/>
          <w:color w:val="000000"/>
          <w:sz w:val="28"/>
          <w:highlight w:val="none"/>
        </w:rPr>
        <w:t>上年结转：</w:t>
      </w:r>
      <w:r>
        <w:rPr>
          <w:rFonts w:hint="eastAsia" w:ascii="宋体" w:cs="宋体"/>
          <w:color w:val="000000"/>
          <w:sz w:val="28"/>
          <w:highlight w:val="none"/>
        </w:rPr>
        <w:t>指以前年度尚未完成、结转到本年仍按原规定用途继续使用的资金。</w:t>
      </w:r>
    </w:p>
    <w:p>
      <w:pPr>
        <w:spacing w:line="500" w:lineRule="exact"/>
        <w:ind w:firstLine="560"/>
        <w:rPr>
          <w:highlight w:val="none"/>
        </w:rPr>
      </w:pPr>
      <w:r>
        <w:rPr>
          <w:rFonts w:eastAsia="Times New Roman"/>
          <w:color w:val="000000"/>
          <w:sz w:val="28"/>
          <w:highlight w:val="none"/>
        </w:rPr>
        <w:t>10</w:t>
      </w:r>
      <w:r>
        <w:rPr>
          <w:rFonts w:hint="eastAsia" w:ascii="宋体" w:cs="宋体"/>
          <w:color w:val="000000"/>
          <w:sz w:val="28"/>
          <w:highlight w:val="none"/>
        </w:rPr>
        <w:t>、</w:t>
      </w:r>
      <w:r>
        <w:rPr>
          <w:rFonts w:hint="eastAsia" w:ascii="宋体" w:cs="宋体"/>
          <w:b/>
          <w:color w:val="000000"/>
          <w:sz w:val="28"/>
          <w:highlight w:val="none"/>
        </w:rPr>
        <w:t>事业单位经营支出：</w:t>
      </w:r>
      <w:r>
        <w:rPr>
          <w:rFonts w:hint="eastAsia" w:ascii="宋体" w:cs="宋体"/>
          <w:color w:val="000000"/>
          <w:sz w:val="28"/>
          <w:highlight w:val="none"/>
        </w:rPr>
        <w:t>指事业单位在专业业务活动及其辅助活动之外开展非独立核算经营活动发生的支出。</w:t>
      </w:r>
    </w:p>
    <w:p>
      <w:pPr>
        <w:spacing w:before="10" w:after="10"/>
        <w:ind w:firstLine="640"/>
        <w:outlineLvl w:val="2"/>
        <w:rPr>
          <w:highlight w:val="none"/>
        </w:rPr>
      </w:pPr>
      <w:bookmarkStart w:id="17" w:name="_Toc30902883"/>
      <w:r>
        <w:rPr>
          <w:rFonts w:hint="eastAsia" w:ascii="黑体" w:eastAsia="黑体" w:cs="黑体"/>
          <w:color w:val="000000"/>
          <w:sz w:val="32"/>
          <w:highlight w:val="none"/>
        </w:rPr>
        <w:t>九、其他需要说明的事项</w:t>
      </w:r>
      <w:bookmarkEnd w:id="17"/>
    </w:p>
    <w:p>
      <w:pPr>
        <w:spacing w:line="500" w:lineRule="exact"/>
        <w:ind w:firstLine="560"/>
        <w:rPr>
          <w:highlight w:val="none"/>
        </w:rPr>
        <w:sectPr>
          <w:pgSz w:w="16840" w:h="11900" w:orient="landscape"/>
          <w:pgMar w:top="1361" w:right="1020" w:bottom="1134" w:left="1020" w:header="720" w:footer="720" w:gutter="0"/>
          <w:cols w:space="720" w:num="1"/>
          <w:docGrid w:linePitch="326" w:charSpace="0"/>
        </w:sectPr>
      </w:pPr>
      <w:r>
        <w:rPr>
          <w:rFonts w:hint="eastAsia" w:ascii="宋体" w:cs="宋体"/>
          <w:color w:val="000000"/>
          <w:sz w:val="28"/>
          <w:highlight w:val="none"/>
        </w:rPr>
        <w:t>我部门无其他需要说明的事项。</w:t>
      </w:r>
    </w:p>
    <w:p>
      <w:pPr>
        <w:jc w:val="center"/>
        <w:rPr>
          <w:highlight w:val="none"/>
        </w:rPr>
      </w:pPr>
      <w:r>
        <w:rPr>
          <w:rFonts w:ascii="方正小标宋_GBK" w:eastAsia="方正小标宋_GBK" w:cs="方正小标宋_GBK"/>
          <w:color w:val="000000"/>
          <w:sz w:val="44"/>
          <w:highlight w:val="none"/>
        </w:rPr>
        <w:t xml:space="preserve"> </w:t>
      </w:r>
    </w:p>
    <w:p>
      <w:pPr>
        <w:jc w:val="both"/>
        <w:rPr>
          <w:highlight w:val="none"/>
        </w:rPr>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_GBK">
    <w:altName w:val="Times New Roman"/>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5057DA"/>
    <w:multiLevelType w:val="singleLevel"/>
    <w:tmpl w:val="E85057DA"/>
    <w:lvl w:ilvl="0" w:tentative="0">
      <w:start w:val="2"/>
      <w:numFmt w:val="chineseCounting"/>
      <w:suff w:val="space"/>
      <w:lvlText w:val="第%1部分"/>
      <w:lvlJc w:val="left"/>
      <w:pPr>
        <w:ind w:left="0" w:firstLine="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noPunctuationKerning w:val="1"/>
  <w:noLineBreaksAfter w:lang="zh-CN" w:val="$([{£¥·‘“〈《「『【〔〖〝﹙﹛﹝＄（．［｛￡￥"/>
  <w:noLineBreaksBefore w:lang="zh-CN" w:val="!%),.:;&gt;?]}¢¨°·ˇˉ―‖’”…‰′″›℃∶、。〃〉》」』】〕〗〞︶︺︾﹀﹄﹚﹜﹞！＂％＇），．：；？］｀｜｝～￠"/>
  <w:compat>
    <w:spaceForUL/>
    <w:doNotExpandShiftReturn/>
    <w:adjustLineHeightInTable/>
    <w:useFELayout/>
    <w:doNotUseIndentAsNumberingTabStop/>
    <w:useAltKinsokuLineBreakRules/>
    <w:splitPgBreakAndParaMark/>
    <w:compatSetting w:name="compatibilityMode" w:uri="http://schemas.microsoft.com/office/word" w:val="11"/>
  </w:compat>
  <w:docVars>
    <w:docVar w:name="commondata" w:val="eyJoZGlkIjoiNjU1NGYyNmVmYWE2YTcxYmJjY2E2MjhhMDMxMzliODMifQ=="/>
  </w:docVars>
  <w:rsids>
    <w:rsidRoot w:val="00000000"/>
    <w:rsid w:val="0E5057A7"/>
    <w:rsid w:val="11E46932"/>
    <w:rsid w:val="141F1EA3"/>
    <w:rsid w:val="149017FB"/>
    <w:rsid w:val="26DC3C24"/>
    <w:rsid w:val="47064679"/>
    <w:rsid w:val="65670581"/>
    <w:rsid w:val="68C87588"/>
    <w:rsid w:val="6B7B6B34"/>
    <w:rsid w:val="73832A2A"/>
    <w:rsid w:val="76965B89"/>
    <w:rsid w:val="777C7E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宋体" w:cs="Times New Roman"/>
      <w:kern w:val="0"/>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12">
    <w:name w:val="Default Paragraph Font"/>
    <w:autoRedefine/>
    <w:qFormat/>
    <w:uiPriority w:val="0"/>
  </w:style>
  <w:style w:type="table" w:default="1" w:styleId="11">
    <w:name w:val="Normal Table"/>
    <w:semiHidden/>
    <w:uiPriority w:val="0"/>
    <w:tblPr>
      <w:tblCellMar>
        <w:top w:w="0" w:type="dxa"/>
        <w:left w:w="108" w:type="dxa"/>
        <w:bottom w:w="0" w:type="dxa"/>
        <w:right w:w="108" w:type="dxa"/>
      </w:tblCellMar>
    </w:tblPr>
  </w:style>
  <w:style w:type="paragraph" w:styleId="5">
    <w:name w:val="toc 3"/>
    <w:basedOn w:val="1"/>
    <w:next w:val="1"/>
    <w:autoRedefine/>
    <w:qFormat/>
    <w:uiPriority w:val="0"/>
    <w:pPr>
      <w:ind w:left="480"/>
    </w:pPr>
  </w:style>
  <w:style w:type="paragraph" w:styleId="6">
    <w:name w:val="footer"/>
    <w:basedOn w:val="1"/>
    <w:autoRedefine/>
    <w:qFormat/>
    <w:uiPriority w:val="0"/>
    <w:pPr>
      <w:tabs>
        <w:tab w:val="center" w:pos="4153"/>
        <w:tab w:val="right" w:pos="8306"/>
      </w:tabs>
      <w:snapToGrid w:val="0"/>
    </w:pPr>
    <w:rPr>
      <w:sz w:val="18"/>
      <w:szCs w:val="18"/>
    </w:rPr>
  </w:style>
  <w:style w:type="paragraph" w:styleId="7">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qFormat/>
    <w:uiPriority w:val="0"/>
    <w:pPr>
      <w:spacing w:before="120"/>
      <w:ind w:firstLine="560"/>
    </w:pPr>
    <w:rPr>
      <w:color w:val="000000"/>
      <w:sz w:val="28"/>
    </w:rPr>
  </w:style>
  <w:style w:type="paragraph" w:styleId="9">
    <w:name w:val="toc 4"/>
    <w:basedOn w:val="1"/>
    <w:next w:val="1"/>
    <w:autoRedefine/>
    <w:qFormat/>
    <w:uiPriority w:val="0"/>
    <w:pPr>
      <w:ind w:left="720"/>
    </w:pPr>
  </w:style>
  <w:style w:type="paragraph" w:styleId="10">
    <w:name w:val="toc 2"/>
    <w:basedOn w:val="1"/>
    <w:next w:val="1"/>
    <w:autoRedefine/>
    <w:qFormat/>
    <w:uiPriority w:val="0"/>
    <w:pPr>
      <w:ind w:left="240"/>
    </w:pPr>
  </w:style>
  <w:style w:type="paragraph" w:customStyle="1" w:styleId="13">
    <w:name w:val="单元格样式22"/>
    <w:basedOn w:val="1"/>
    <w:autoRedefine/>
    <w:qFormat/>
    <w:uiPriority w:val="0"/>
    <w:pPr>
      <w:jc w:val="right"/>
    </w:pPr>
    <w:rPr>
      <w:rFonts w:ascii="方正小标宋_GBK" w:eastAsia="方正小标宋_GBK" w:cs="方正小标宋_GBK"/>
    </w:rPr>
  </w:style>
  <w:style w:type="paragraph" w:customStyle="1" w:styleId="14">
    <w:name w:val="单元格样式21"/>
    <w:basedOn w:val="1"/>
    <w:autoRedefine/>
    <w:qFormat/>
    <w:uiPriority w:val="0"/>
    <w:pPr>
      <w:jc w:val="center"/>
    </w:pPr>
    <w:rPr>
      <w:rFonts w:ascii="方正小标宋_GBK" w:eastAsia="方正小标宋_GBK" w:cs="方正小标宋_GBK"/>
    </w:rPr>
  </w:style>
  <w:style w:type="paragraph" w:customStyle="1" w:styleId="15">
    <w:name w:val="单元格样式20"/>
    <w:basedOn w:val="1"/>
    <w:autoRedefine/>
    <w:qFormat/>
    <w:uiPriority w:val="0"/>
    <w:rPr>
      <w:rFonts w:ascii="方正小标宋_GBK" w:eastAsia="方正小标宋_GBK" w:cs="方正小标宋_GBK"/>
    </w:rPr>
  </w:style>
  <w:style w:type="paragraph" w:customStyle="1" w:styleId="16">
    <w:name w:val="单元格样式1"/>
    <w:basedOn w:val="1"/>
    <w:autoRedefine/>
    <w:qFormat/>
    <w:uiPriority w:val="0"/>
    <w:pPr>
      <w:jc w:val="center"/>
    </w:pPr>
    <w:rPr>
      <w:rFonts w:ascii="????_GBK" w:hAnsi="????_GBK" w:cs="????_GBK"/>
      <w:b/>
      <w:sz w:val="21"/>
    </w:rPr>
  </w:style>
  <w:style w:type="paragraph" w:customStyle="1" w:styleId="17">
    <w:name w:val="单元格样式4"/>
    <w:basedOn w:val="1"/>
    <w:autoRedefine/>
    <w:qFormat/>
    <w:uiPriority w:val="0"/>
    <w:pPr>
      <w:jc w:val="right"/>
    </w:pPr>
    <w:rPr>
      <w:rFonts w:ascii="????_GBK" w:hAnsi="????_GBK" w:cs="????_GBK"/>
      <w:sz w:val="21"/>
    </w:rPr>
  </w:style>
  <w:style w:type="paragraph" w:customStyle="1" w:styleId="18">
    <w:name w:val="单元格样式2"/>
    <w:basedOn w:val="1"/>
    <w:autoRedefine/>
    <w:qFormat/>
    <w:uiPriority w:val="0"/>
    <w:rPr>
      <w:rFonts w:ascii="????_GBK" w:hAnsi="????_GBK" w:cs="????_GBK"/>
      <w:sz w:val="21"/>
    </w:rPr>
  </w:style>
  <w:style w:type="paragraph" w:customStyle="1" w:styleId="19">
    <w:name w:val="单元格样式3"/>
    <w:basedOn w:val="1"/>
    <w:autoRedefine/>
    <w:qFormat/>
    <w:uiPriority w:val="0"/>
    <w:pPr>
      <w:jc w:val="center"/>
    </w:pPr>
    <w:rPr>
      <w:rFonts w:ascii="????_GBK" w:hAnsi="????_GBK" w:cs="????_GBK"/>
      <w:sz w:val="21"/>
    </w:rPr>
  </w:style>
  <w:style w:type="paragraph" w:customStyle="1" w:styleId="20">
    <w:name w:val="单元格样式6"/>
    <w:basedOn w:val="1"/>
    <w:autoRedefine/>
    <w:qFormat/>
    <w:uiPriority w:val="0"/>
    <w:pPr>
      <w:jc w:val="center"/>
    </w:pPr>
    <w:rPr>
      <w:rFonts w:ascii="????_GBK" w:hAnsi="????_GBK" w:cs="????_GBK"/>
      <w:b/>
      <w:sz w:val="21"/>
    </w:rPr>
  </w:style>
  <w:style w:type="paragraph" w:customStyle="1" w:styleId="21">
    <w:name w:val="单元格样式7"/>
    <w:basedOn w:val="1"/>
    <w:autoRedefine/>
    <w:qFormat/>
    <w:uiPriority w:val="0"/>
    <w:pPr>
      <w:jc w:val="right"/>
    </w:pPr>
    <w:rPr>
      <w:rFonts w:ascii="????_GBK" w:hAnsi="????_GBK" w:cs="????_GBK"/>
      <w:b/>
      <w:sz w:val="21"/>
    </w:rPr>
  </w:style>
  <w:style w:type="paragraph" w:customStyle="1" w:styleId="22">
    <w:name w:val="单元格样式5"/>
    <w:basedOn w:val="1"/>
    <w:autoRedefine/>
    <w:qFormat/>
    <w:uiPriority w:val="0"/>
    <w:rPr>
      <w:rFonts w:ascii="????_GBK" w:hAnsi="????_GBK" w:cs="????_GBK"/>
      <w:b/>
      <w:sz w:val="21"/>
    </w:rPr>
  </w:style>
  <w:style w:type="paragraph" w:customStyle="1" w:styleId="23">
    <w:name w:val="插入文本样式-插入部门职责文件"/>
    <w:basedOn w:val="1"/>
    <w:autoRedefine/>
    <w:qFormat/>
    <w:uiPriority w:val="0"/>
    <w:pPr>
      <w:spacing w:line="500" w:lineRule="exact"/>
      <w:ind w:firstLine="560"/>
    </w:pPr>
    <w:rPr>
      <w:sz w:val="28"/>
    </w:rPr>
  </w:style>
  <w:style w:type="paragraph" w:customStyle="1" w:styleId="24">
    <w:name w:val="插入文本样式-插入预算公开部门预算安排的总体情况文件"/>
    <w:basedOn w:val="1"/>
    <w:autoRedefine/>
    <w:qFormat/>
    <w:uiPriority w:val="0"/>
    <w:pPr>
      <w:spacing w:line="500" w:lineRule="exact"/>
      <w:ind w:firstLine="560"/>
    </w:pPr>
    <w:rPr>
      <w:sz w:val="28"/>
    </w:rPr>
  </w:style>
  <w:style w:type="paragraph" w:customStyle="1" w:styleId="25">
    <w:name w:val="插入文本样式-插入预算公开部门机关运行经费安排情况文件"/>
    <w:basedOn w:val="1"/>
    <w:autoRedefine/>
    <w:qFormat/>
    <w:uiPriority w:val="0"/>
    <w:pPr>
      <w:spacing w:line="500" w:lineRule="exact"/>
      <w:ind w:firstLine="560"/>
    </w:pPr>
    <w:rPr>
      <w:sz w:val="28"/>
    </w:rPr>
  </w:style>
  <w:style w:type="paragraph" w:customStyle="1" w:styleId="26">
    <w:name w:val="插入文本样式-插入预算公开部门财政拨款三公经费预算情况及增减变化原因文件"/>
    <w:basedOn w:val="1"/>
    <w:autoRedefine/>
    <w:qFormat/>
    <w:uiPriority w:val="0"/>
    <w:pPr>
      <w:spacing w:line="500" w:lineRule="exact"/>
      <w:ind w:firstLine="560"/>
    </w:pPr>
    <w:rPr>
      <w:sz w:val="28"/>
    </w:rPr>
  </w:style>
  <w:style w:type="paragraph" w:customStyle="1" w:styleId="27">
    <w:name w:val="插入文本样式-插入总体目标文件"/>
    <w:basedOn w:val="1"/>
    <w:autoRedefine/>
    <w:qFormat/>
    <w:uiPriority w:val="0"/>
    <w:pPr>
      <w:spacing w:line="500" w:lineRule="exact"/>
      <w:ind w:firstLine="560"/>
    </w:pPr>
    <w:rPr>
      <w:sz w:val="28"/>
    </w:rPr>
  </w:style>
  <w:style w:type="paragraph" w:customStyle="1" w:styleId="28">
    <w:name w:val="插入文本样式-插入职责分类绩效目标文件"/>
    <w:basedOn w:val="1"/>
    <w:autoRedefine/>
    <w:qFormat/>
    <w:uiPriority w:val="0"/>
    <w:pPr>
      <w:spacing w:line="500" w:lineRule="exact"/>
      <w:ind w:firstLine="560"/>
    </w:pPr>
    <w:rPr>
      <w:sz w:val="28"/>
    </w:rPr>
  </w:style>
  <w:style w:type="paragraph" w:customStyle="1" w:styleId="29">
    <w:name w:val="插入文本样式-插入实现年度发展规划目标的保障措施文件"/>
    <w:basedOn w:val="1"/>
    <w:autoRedefine/>
    <w:qFormat/>
    <w:uiPriority w:val="0"/>
    <w:pPr>
      <w:spacing w:line="500" w:lineRule="exact"/>
      <w:ind w:firstLine="560"/>
    </w:pPr>
    <w:rPr>
      <w:sz w:val="28"/>
    </w:rPr>
  </w:style>
  <w:style w:type="paragraph" w:customStyle="1" w:styleId="30">
    <w:name w:val="Normal_33cba0eb-932a-45e0-92ab-f834f66d303c"/>
    <w:autoRedefine/>
    <w:qFormat/>
    <w:uiPriority w:val="0"/>
    <w:rPr>
      <w:rFonts w:ascii="Times New Roman" w:hAnsi="Times New Roman" w:eastAsia="宋体" w:cs="Times New Roman"/>
      <w:kern w:val="0"/>
      <w:sz w:val="24"/>
      <w:szCs w:val="24"/>
      <w:lang w:val="en-US" w:eastAsia="uk-UA" w:bidi="ar-SA"/>
    </w:rPr>
  </w:style>
  <w:style w:type="paragraph" w:customStyle="1" w:styleId="31">
    <w:name w:val="单元格样式1_a164d684-2f1d-4c06-81aa-a439143c5335"/>
    <w:basedOn w:val="1"/>
    <w:autoRedefine/>
    <w:qFormat/>
    <w:uiPriority w:val="0"/>
    <w:pPr>
      <w:jc w:val="center"/>
    </w:pPr>
    <w:rPr>
      <w:rFonts w:ascii="????_GBK" w:hAnsi="????_GBK" w:cs="????_GBK"/>
      <w:b/>
      <w:sz w:val="21"/>
    </w:rPr>
  </w:style>
  <w:style w:type="paragraph" w:customStyle="1" w:styleId="32">
    <w:name w:val="单元格样式2_7e8cccd9-e6f7-427e-8b79-67a6a68c8d0f"/>
    <w:basedOn w:val="1"/>
    <w:autoRedefine/>
    <w:qFormat/>
    <w:uiPriority w:val="0"/>
    <w:rPr>
      <w:rFonts w:ascii="????_GBK" w:hAnsi="????_GBK" w:cs="????_GBK"/>
      <w:sz w:val="21"/>
    </w:rPr>
  </w:style>
  <w:style w:type="paragraph" w:customStyle="1" w:styleId="33">
    <w:name w:val="单元格样式3_00a81aef-c23b-48ef-9117-a467b401250f"/>
    <w:basedOn w:val="1"/>
    <w:autoRedefine/>
    <w:qFormat/>
    <w:uiPriority w:val="0"/>
    <w:pPr>
      <w:jc w:val="center"/>
    </w:pPr>
    <w:rPr>
      <w:rFonts w:ascii="????_GBK" w:hAnsi="????_GBK" w:cs="????_GBK"/>
      <w:sz w:val="21"/>
    </w:rPr>
  </w:style>
  <w:style w:type="paragraph" w:customStyle="1" w:styleId="34">
    <w:name w:val="单元格样式23"/>
    <w:basedOn w:val="1"/>
    <w:autoRedefine/>
    <w:qFormat/>
    <w:uiPriority w:val="0"/>
    <w:pPr>
      <w:jc w:val="right"/>
    </w:pPr>
    <w:rPr>
      <w:rFonts w:ascii="????_GBK" w:hAnsi="????_GBK" w:cs="????_GBK"/>
    </w:rPr>
  </w:style>
  <w:style w:type="paragraph" w:customStyle="1" w:styleId="35">
    <w:name w:val="插入文本样式-插入单位职责文件"/>
    <w:basedOn w:val="1"/>
    <w:autoRedefine/>
    <w:qFormat/>
    <w:uiPriority w:val="0"/>
    <w:pPr>
      <w:spacing w:line="500" w:lineRule="exact"/>
      <w:ind w:firstLine="560"/>
    </w:pPr>
    <w:rPr>
      <w:sz w:val="28"/>
    </w:rPr>
  </w:style>
  <w:style w:type="paragraph" w:customStyle="1" w:styleId="36">
    <w:name w:val="插入文本样式-插入预算公开单位预算安排的总体情况文件"/>
    <w:basedOn w:val="1"/>
    <w:autoRedefine/>
    <w:qFormat/>
    <w:uiPriority w:val="0"/>
    <w:pPr>
      <w:spacing w:line="500" w:lineRule="exact"/>
      <w:ind w:firstLine="560"/>
    </w:pPr>
    <w:rPr>
      <w:sz w:val="28"/>
    </w:rPr>
  </w:style>
  <w:style w:type="paragraph" w:customStyle="1" w:styleId="37">
    <w:name w:val="插入文本样式-插入预算公开单位机关运行经费安排情况文件"/>
    <w:basedOn w:val="1"/>
    <w:autoRedefine/>
    <w:qFormat/>
    <w:uiPriority w:val="0"/>
    <w:pPr>
      <w:spacing w:line="500" w:lineRule="exact"/>
      <w:ind w:firstLine="560"/>
    </w:pPr>
    <w:rPr>
      <w:sz w:val="28"/>
    </w:rPr>
  </w:style>
  <w:style w:type="paragraph" w:customStyle="1" w:styleId="38">
    <w:name w:val="插入文本样式-插入预算公开单位财政拨款三公经费预算情况及增减变化原因文件"/>
    <w:basedOn w:val="1"/>
    <w:autoRedefine/>
    <w:qFormat/>
    <w:uiPriority w:val="0"/>
    <w:pPr>
      <w:spacing w:line="500" w:lineRule="exact"/>
      <w:ind w:firstLine="560"/>
    </w:pPr>
    <w:rPr>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523F691E-9390-4602-B8D9-38677BC2AD8D}">
  <ds:schemaRefs/>
</ds:datastoreItem>
</file>

<file path=docProps/app.xml><?xml version="1.0" encoding="utf-8"?>
<Properties xmlns="http://schemas.openxmlformats.org/officeDocument/2006/extended-properties" xmlns:vt="http://schemas.openxmlformats.org/officeDocument/2006/docPropsVTypes">
  <Template>Normal.eit</Template>
  <Company>http://www.2345.com/?k401526</Company>
  <Pages>41</Pages>
  <Words>14086</Words>
  <Characters>17082</Characters>
  <Lines>3208</Lines>
  <Paragraphs>2067</Paragraphs>
  <TotalTime>50</TotalTime>
  <ScaleCrop>false</ScaleCrop>
  <LinksUpToDate>false</LinksUpToDate>
  <CharactersWithSpaces>17289</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2022-02-16T12:12:00Z</dcterms:created>
  <dc:creator>Administrator</dc:creator>
  <cp:lastModifiedBy>lenovo</cp:lastModifiedBy>
  <dcterms:modified xsi:type="dcterms:W3CDTF">2024-01-14T05:30:28Z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80D208176DE9497F99ECA6A6D653264B</vt:lpwstr>
  </property>
</Properties>
</file>