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eastAsia="黑体" w:cs="黑体"/>
          <w:b/>
          <w:color w:val="000000"/>
          <w:sz w:val="44"/>
        </w:rPr>
        <w:t>2022年部门预算信息公开目录</w:t>
      </w:r>
    </w:p>
    <w:p>
      <w:pPr>
        <w:jc w:val="center"/>
      </w:pPr>
      <w:r>
        <w:rPr>
          <w:rFonts w:ascii="黑体" w:eastAsia="黑体" w:cs="黑体"/>
          <w:b/>
          <w:color w:val="000000"/>
          <w:sz w:val="30"/>
        </w:rPr>
        <w:t xml:space="preserve"> </w:t>
      </w:r>
    </w:p>
    <w:p>
      <w:r>
        <w:rPr>
          <w:rFonts w:ascii="方正楷体_GBK" w:eastAsia="方正楷体_GBK" w:cs="方正楷体_GBK"/>
          <w:b/>
          <w:color w:val="000000"/>
          <w:sz w:val="28"/>
        </w:rPr>
        <w:t>部门预算公开表</w:t>
      </w:r>
    </w:p>
    <w:p>
      <w:pPr>
        <w:pStyle w:val="36"/>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6"/>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6"/>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6"/>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6"/>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6"/>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6"/>
        <w:tabs>
          <w:tab w:val="right" w:leader="dot" w:pos="14562"/>
        </w:tabs>
      </w:pPr>
      <w:r>
        <w:fldChar w:fldCharType="begin"/>
      </w:r>
      <w:r>
        <w:instrText xml:space="preserve">Hyperlink \l "_Toc_2_2_0000000007"</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6"/>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6"/>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r>
        <w:rPr>
          <w:rFonts w:ascii="方正楷体_GBK" w:eastAsia="方正楷体_GBK" w:cs="方正楷体_GBK"/>
          <w:b/>
          <w:color w:val="000000"/>
          <w:sz w:val="28"/>
        </w:rPr>
        <w:t>部门预算信息公开情况说明</w:t>
      </w:r>
    </w:p>
    <w:p>
      <w:pPr>
        <w:pStyle w:val="36"/>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6"/>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6"/>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6"/>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6"/>
        <w:tabs>
          <w:tab w:val="right" w:leader="dot" w:pos="14562"/>
        </w:tabs>
      </w:pPr>
      <w:r>
        <w:fldChar w:fldCharType="begin"/>
      </w:r>
      <w:r>
        <w:instrText xml:space="preserve">Hyperlink \l "_Toc_3_3_0000000014"</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6"/>
        <w:tabs>
          <w:tab w:val="right" w:leader="dot" w:pos="14562"/>
        </w:tabs>
      </w:pPr>
      <w:r>
        <w:fldChar w:fldCharType="begin"/>
      </w:r>
      <w:r>
        <w:instrText xml:space="preserve">Hyperlink \l "_Toc_3_3_0000000015"</w:instrText>
      </w:r>
      <w:r>
        <w:fldChar w:fldCharType="separate"/>
      </w:r>
      <w:r>
        <w:t>六、政府采购预算情况</w:t>
      </w:r>
      <w:r>
        <w:tab/>
      </w:r>
      <w:r>
        <w:fldChar w:fldCharType="begin"/>
      </w:r>
      <w:r>
        <w:instrText xml:space="preserve">PAGEREF _Toc_3_3_0000000015 \h</w:instrText>
      </w:r>
      <w:r>
        <w:fldChar w:fldCharType="separate"/>
      </w:r>
      <w:r>
        <w:t>30</w:t>
      </w:r>
      <w:r>
        <w:fldChar w:fldCharType="end"/>
      </w:r>
      <w:r>
        <w:fldChar w:fldCharType="end"/>
      </w:r>
    </w:p>
    <w:p>
      <w:pPr>
        <w:pStyle w:val="36"/>
        <w:tabs>
          <w:tab w:val="right" w:leader="dot" w:pos="14562"/>
        </w:tabs>
      </w:pPr>
      <w:r>
        <w:fldChar w:fldCharType="begin"/>
      </w:r>
      <w:r>
        <w:instrText xml:space="preserve">Hyperlink \l "_Toc_3_3_0000000016"</w:instrText>
      </w:r>
      <w:r>
        <w:fldChar w:fldCharType="separate"/>
      </w:r>
      <w:r>
        <w:t>七、国有资产信息</w:t>
      </w:r>
      <w:r>
        <w:tab/>
      </w:r>
      <w:r>
        <w:fldChar w:fldCharType="begin"/>
      </w:r>
      <w:r>
        <w:instrText xml:space="preserve">PAGEREF _Toc_3_3_0000000016 \h</w:instrText>
      </w:r>
      <w:r>
        <w:fldChar w:fldCharType="separate"/>
      </w:r>
      <w:r>
        <w:t>30</w:t>
      </w:r>
      <w:r>
        <w:fldChar w:fldCharType="end"/>
      </w:r>
      <w:r>
        <w:fldChar w:fldCharType="end"/>
      </w:r>
    </w:p>
    <w:p>
      <w:pPr>
        <w:pStyle w:val="36"/>
        <w:tabs>
          <w:tab w:val="right" w:leader="dot" w:pos="14562"/>
        </w:tabs>
      </w:pPr>
      <w:r>
        <w:fldChar w:fldCharType="begin"/>
      </w:r>
      <w:r>
        <w:instrText xml:space="preserve">Hyperlink \l "_Toc_3_3_0000000017"</w:instrText>
      </w:r>
      <w:r>
        <w:fldChar w:fldCharType="separate"/>
      </w:r>
      <w:r>
        <w:t>八、名词解释</w:t>
      </w:r>
      <w:r>
        <w:tab/>
      </w:r>
      <w:r>
        <w:fldChar w:fldCharType="begin"/>
      </w:r>
      <w:r>
        <w:instrText xml:space="preserve">PAGEREF _Toc_3_3_0000000017 \h</w:instrText>
      </w:r>
      <w:r>
        <w:fldChar w:fldCharType="separate"/>
      </w:r>
      <w:r>
        <w:t>30</w:t>
      </w:r>
      <w:r>
        <w:fldChar w:fldCharType="end"/>
      </w:r>
      <w:r>
        <w:fldChar w:fldCharType="end"/>
      </w:r>
    </w:p>
    <w:p>
      <w:pPr>
        <w:pStyle w:val="36"/>
        <w:tabs>
          <w:tab w:val="right" w:leader="dot" w:pos="14562"/>
        </w:tabs>
      </w:pPr>
      <w:r>
        <w:fldChar w:fldCharType="begin"/>
      </w:r>
      <w:r>
        <w:instrText xml:space="preserve">Hyperlink \l "_Toc_3_3_0000000018"</w:instrText>
      </w:r>
      <w:r>
        <w:fldChar w:fldCharType="separate"/>
      </w:r>
      <w:r>
        <w:t>九、其他需要说明的事项</w:t>
      </w:r>
      <w:r>
        <w:tab/>
      </w:r>
      <w:r>
        <w:fldChar w:fldCharType="begin"/>
      </w:r>
      <w:r>
        <w:instrText xml:space="preserve">PAGEREF _Toc_3_3_0000000018 \h</w:instrText>
      </w:r>
      <w:r>
        <w:fldChar w:fldCharType="separate"/>
      </w:r>
      <w:r>
        <w:t>31</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docGrid w:linePitch="326" w:charSpace="0"/>
        </w:sectPr>
      </w:pPr>
    </w:p>
    <w:p>
      <w:pPr>
        <w:jc w:val="center"/>
      </w:pPr>
      <w:r>
        <w:rPr>
          <w:rFonts w:ascii="方正小标宋_GBK" w:eastAsia="方正小标宋_GBK" w:cs="方正小标宋_GBK"/>
          <w:color w:val="000000"/>
          <w:sz w:val="44"/>
        </w:rPr>
        <w:t xml:space="preserve"> </w:t>
      </w:r>
    </w:p>
    <w:p>
      <w:pPr>
        <w:jc w:val="center"/>
      </w:pPr>
      <w:r>
        <w:rPr>
          <w:rFonts w:ascii="方正小标宋_GBK" w:eastAsia="方正小标宋_GBK" w:cs="方正小标宋_GBK"/>
          <w:color w:val="000000"/>
          <w:sz w:val="44"/>
        </w:rPr>
        <w:t xml:space="preserve"> </w:t>
      </w:r>
    </w:p>
    <w:p>
      <w:pPr>
        <w:jc w:val="center"/>
      </w:pPr>
      <w:r>
        <w:rPr>
          <w:rFonts w:ascii="方正小标宋_GBK" w:eastAsia="方正小标宋_GBK" w:cs="方正小标宋_GBK"/>
          <w:color w:val="000000"/>
          <w:sz w:val="44"/>
        </w:rPr>
        <w:t xml:space="preserve"> </w:t>
      </w:r>
    </w:p>
    <w:p>
      <w:pPr>
        <w:jc w:val="center"/>
      </w:pPr>
      <w:r>
        <w:rPr>
          <w:rFonts w:ascii="方正小标宋_GBK" w:eastAsia="方正小标宋_GBK" w:cs="方正小标宋_GBK"/>
          <w:color w:val="000000"/>
          <w:sz w:val="44"/>
        </w:rPr>
        <w:t xml:space="preserve"> </w:t>
      </w:r>
    </w:p>
    <w:p>
      <w:pPr>
        <w:jc w:val="center"/>
      </w:pPr>
      <w:r>
        <w:rPr>
          <w:rFonts w:ascii="方正小标宋_GBK" w:eastAsia="方正小标宋_GBK" w:cs="方正小标宋_GBK"/>
          <w:color w:val="000000"/>
          <w:sz w:val="44"/>
        </w:rPr>
        <w:t xml:space="preserve"> </w:t>
      </w:r>
    </w:p>
    <w:p>
      <w:pPr>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315灵寿县司法局</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731.33</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593.83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731.33</w:t>
            </w:r>
          </w:p>
        </w:tc>
        <w:tc>
          <w:tcPr>
            <w:tcW w:w="4535" w:type="dxa"/>
            <w:vAlign w:val="center"/>
          </w:tcPr>
          <w:p>
            <w:pPr>
              <w:pStyle w:val="14"/>
            </w:pPr>
            <w:r>
              <w:t>本年支出合计</w:t>
            </w:r>
          </w:p>
        </w:tc>
        <w:tc>
          <w:tcPr>
            <w:tcW w:w="2126" w:type="dxa"/>
            <w:vAlign w:val="center"/>
          </w:tcPr>
          <w:p>
            <w:pPr>
              <w:pStyle w:val="15"/>
            </w:pPr>
            <w:r>
              <w:t>731.33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731.33</w:t>
            </w:r>
          </w:p>
        </w:tc>
        <w:tc>
          <w:tcPr>
            <w:tcW w:w="4535" w:type="dxa"/>
            <w:vAlign w:val="center"/>
          </w:tcPr>
          <w:p>
            <w:pPr>
              <w:pStyle w:val="14"/>
            </w:pPr>
            <w:r>
              <w:t>支出总计</w:t>
            </w:r>
          </w:p>
        </w:tc>
        <w:tc>
          <w:tcPr>
            <w:tcW w:w="2126" w:type="dxa"/>
            <w:vAlign w:val="center"/>
          </w:tcPr>
          <w:p>
            <w:pPr>
              <w:pStyle w:val="15"/>
            </w:pPr>
            <w:r>
              <w:t>731.33</w:t>
            </w:r>
          </w:p>
        </w:tc>
      </w:tr>
    </w:tbl>
    <w:p>
      <w:pPr>
        <w:sectPr>
          <w:footerReference r:id="rId3" w:type="default"/>
          <w:footerReference r:id="rId4" w:type="even"/>
          <w:pgSz w:w="16840" w:h="11900" w:orient="landscape"/>
          <w:pgMar w:top="1361" w:right="1020" w:bottom="1134" w:left="1020" w:header="720" w:footer="720" w:gutter="0"/>
          <w:cols w:space="720" w:num="1"/>
          <w:docGrid w:linePitch="326" w:charSpace="0"/>
        </w:sectPr>
      </w:pPr>
    </w:p>
    <w:p>
      <w:pPr>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315灵寿县司法局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731.33</w:t>
            </w:r>
          </w:p>
        </w:tc>
        <w:tc>
          <w:tcPr>
            <w:tcW w:w="1134" w:type="dxa"/>
            <w:vAlign w:val="center"/>
          </w:tcPr>
          <w:p>
            <w:pPr>
              <w:pStyle w:val="15"/>
            </w:pPr>
            <w:r>
              <w:t>731.33</w:t>
            </w:r>
          </w:p>
        </w:tc>
        <w:tc>
          <w:tcPr>
            <w:tcW w:w="1134" w:type="dxa"/>
            <w:vAlign w:val="center"/>
          </w:tcPr>
          <w:p>
            <w:pPr>
              <w:pStyle w:val="15"/>
            </w:pPr>
            <w:r>
              <w:t>731.33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593.83</w:t>
            </w:r>
          </w:p>
        </w:tc>
        <w:tc>
          <w:tcPr>
            <w:tcW w:w="1134" w:type="dxa"/>
            <w:vAlign w:val="center"/>
          </w:tcPr>
          <w:p>
            <w:pPr>
              <w:pStyle w:val="11"/>
            </w:pPr>
            <w:r>
              <w:t>593.83</w:t>
            </w:r>
          </w:p>
        </w:tc>
        <w:tc>
          <w:tcPr>
            <w:tcW w:w="1134" w:type="dxa"/>
            <w:vAlign w:val="center"/>
          </w:tcPr>
          <w:p>
            <w:pPr>
              <w:pStyle w:val="11"/>
            </w:pPr>
            <w:r>
              <w:t>593.83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20406</w:t>
            </w:r>
          </w:p>
        </w:tc>
        <w:tc>
          <w:tcPr>
            <w:tcW w:w="1559" w:type="dxa"/>
            <w:vAlign w:val="center"/>
          </w:tcPr>
          <w:p>
            <w:pPr>
              <w:pStyle w:val="12"/>
            </w:pPr>
            <w:r>
              <w:t>司法</w:t>
            </w:r>
          </w:p>
        </w:tc>
        <w:tc>
          <w:tcPr>
            <w:tcW w:w="1134" w:type="dxa"/>
            <w:vAlign w:val="center"/>
          </w:tcPr>
          <w:p>
            <w:pPr>
              <w:pStyle w:val="11"/>
            </w:pPr>
            <w:r>
              <w:t>593.83</w:t>
            </w:r>
          </w:p>
        </w:tc>
        <w:tc>
          <w:tcPr>
            <w:tcW w:w="1134" w:type="dxa"/>
            <w:vAlign w:val="center"/>
          </w:tcPr>
          <w:p>
            <w:pPr>
              <w:pStyle w:val="11"/>
            </w:pPr>
            <w:r>
              <w:t>593.83</w:t>
            </w:r>
          </w:p>
        </w:tc>
        <w:tc>
          <w:tcPr>
            <w:tcW w:w="1134" w:type="dxa"/>
            <w:vAlign w:val="center"/>
          </w:tcPr>
          <w:p>
            <w:pPr>
              <w:pStyle w:val="11"/>
            </w:pPr>
            <w:r>
              <w:t>593.83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2040601</w:t>
            </w:r>
          </w:p>
        </w:tc>
        <w:tc>
          <w:tcPr>
            <w:tcW w:w="1559" w:type="dxa"/>
            <w:vAlign w:val="center"/>
          </w:tcPr>
          <w:p>
            <w:pPr>
              <w:pStyle w:val="12"/>
            </w:pPr>
            <w:r>
              <w:t>行政运行</w:t>
            </w:r>
          </w:p>
        </w:tc>
        <w:tc>
          <w:tcPr>
            <w:tcW w:w="1134" w:type="dxa"/>
            <w:vAlign w:val="center"/>
          </w:tcPr>
          <w:p>
            <w:pPr>
              <w:pStyle w:val="11"/>
            </w:pPr>
            <w:r>
              <w:t>443.65</w:t>
            </w:r>
          </w:p>
        </w:tc>
        <w:tc>
          <w:tcPr>
            <w:tcW w:w="1134" w:type="dxa"/>
            <w:vAlign w:val="center"/>
          </w:tcPr>
          <w:p>
            <w:pPr>
              <w:pStyle w:val="11"/>
            </w:pPr>
            <w:r>
              <w:t>443.65</w:t>
            </w:r>
          </w:p>
        </w:tc>
        <w:tc>
          <w:tcPr>
            <w:tcW w:w="1134" w:type="dxa"/>
            <w:vAlign w:val="center"/>
          </w:tcPr>
          <w:p>
            <w:pPr>
              <w:pStyle w:val="11"/>
            </w:pPr>
            <w:r>
              <w:t>443.65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2040604</w:t>
            </w:r>
          </w:p>
        </w:tc>
        <w:tc>
          <w:tcPr>
            <w:tcW w:w="1559" w:type="dxa"/>
            <w:vAlign w:val="center"/>
          </w:tcPr>
          <w:p>
            <w:pPr>
              <w:pStyle w:val="12"/>
            </w:pPr>
            <w:r>
              <w:t>基层司法业务</w:t>
            </w:r>
          </w:p>
        </w:tc>
        <w:tc>
          <w:tcPr>
            <w:tcW w:w="1134" w:type="dxa"/>
            <w:vAlign w:val="center"/>
          </w:tcPr>
          <w:p>
            <w:pPr>
              <w:pStyle w:val="11"/>
            </w:pPr>
            <w:r>
              <w:t>15.79</w:t>
            </w:r>
          </w:p>
        </w:tc>
        <w:tc>
          <w:tcPr>
            <w:tcW w:w="1134" w:type="dxa"/>
            <w:vAlign w:val="center"/>
          </w:tcPr>
          <w:p>
            <w:pPr>
              <w:pStyle w:val="11"/>
            </w:pPr>
            <w:r>
              <w:t>15.79</w:t>
            </w:r>
          </w:p>
        </w:tc>
        <w:tc>
          <w:tcPr>
            <w:tcW w:w="1134" w:type="dxa"/>
            <w:vAlign w:val="center"/>
          </w:tcPr>
          <w:p>
            <w:pPr>
              <w:pStyle w:val="11"/>
            </w:pPr>
            <w:r>
              <w:t>15.79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2040605</w:t>
            </w:r>
          </w:p>
        </w:tc>
        <w:tc>
          <w:tcPr>
            <w:tcW w:w="1559" w:type="dxa"/>
            <w:vAlign w:val="center"/>
          </w:tcPr>
          <w:p>
            <w:pPr>
              <w:pStyle w:val="12"/>
            </w:pPr>
            <w:r>
              <w:t>普法宣传</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2040607</w:t>
            </w:r>
          </w:p>
        </w:tc>
        <w:tc>
          <w:tcPr>
            <w:tcW w:w="1559" w:type="dxa"/>
            <w:vAlign w:val="center"/>
          </w:tcPr>
          <w:p>
            <w:pPr>
              <w:pStyle w:val="12"/>
            </w:pPr>
            <w:r>
              <w:t>法律援助</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2040610</w:t>
            </w:r>
          </w:p>
        </w:tc>
        <w:tc>
          <w:tcPr>
            <w:tcW w:w="1559" w:type="dxa"/>
            <w:vAlign w:val="center"/>
          </w:tcPr>
          <w:p>
            <w:pPr>
              <w:pStyle w:val="12"/>
            </w:pPr>
            <w:r>
              <w:t>社区矫正</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r>
              <w:t>16.39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2040612</w:t>
            </w:r>
          </w:p>
        </w:tc>
        <w:tc>
          <w:tcPr>
            <w:tcW w:w="1559" w:type="dxa"/>
            <w:vAlign w:val="center"/>
          </w:tcPr>
          <w:p>
            <w:pPr>
              <w:pStyle w:val="12"/>
            </w:pPr>
            <w:r>
              <w:t>法制建设</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r>
              <w:t>24.00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2040699</w:t>
            </w:r>
          </w:p>
        </w:tc>
        <w:tc>
          <w:tcPr>
            <w:tcW w:w="1559" w:type="dxa"/>
            <w:vAlign w:val="center"/>
          </w:tcPr>
          <w:p>
            <w:pPr>
              <w:pStyle w:val="12"/>
            </w:pPr>
            <w:r>
              <w:t>其他司法支出</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r>
              <w:t>86.00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r>
              <w:t>80.50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r>
              <w:t>24.50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r>
              <w:t>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r>
              <w:t>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731.33</w:t>
            </w:r>
          </w:p>
        </w:tc>
        <w:tc>
          <w:tcPr>
            <w:tcW w:w="1361" w:type="dxa"/>
            <w:vAlign w:val="center"/>
          </w:tcPr>
          <w:p>
            <w:pPr>
              <w:pStyle w:val="15"/>
            </w:pPr>
            <w:r>
              <w:t>581.15</w:t>
            </w:r>
          </w:p>
        </w:tc>
        <w:tc>
          <w:tcPr>
            <w:tcW w:w="1361" w:type="dxa"/>
            <w:vAlign w:val="center"/>
          </w:tcPr>
          <w:p>
            <w:pPr>
              <w:pStyle w:val="15"/>
            </w:pPr>
            <w:r>
              <w:t>150.18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593.83</w:t>
            </w:r>
          </w:p>
        </w:tc>
        <w:tc>
          <w:tcPr>
            <w:tcW w:w="1361" w:type="dxa"/>
            <w:vAlign w:val="center"/>
          </w:tcPr>
          <w:p>
            <w:pPr>
              <w:pStyle w:val="11"/>
            </w:pPr>
            <w:r>
              <w:t>443.65</w:t>
            </w:r>
          </w:p>
        </w:tc>
        <w:tc>
          <w:tcPr>
            <w:tcW w:w="1361" w:type="dxa"/>
            <w:vAlign w:val="center"/>
          </w:tcPr>
          <w:p>
            <w:pPr>
              <w:pStyle w:val="11"/>
            </w:pPr>
            <w:r>
              <w:t>150.18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20406</w:t>
            </w:r>
          </w:p>
        </w:tc>
        <w:tc>
          <w:tcPr>
            <w:tcW w:w="4535" w:type="dxa"/>
            <w:vAlign w:val="center"/>
          </w:tcPr>
          <w:p>
            <w:pPr>
              <w:pStyle w:val="12"/>
            </w:pPr>
            <w:r>
              <w:t>司法</w:t>
            </w:r>
          </w:p>
        </w:tc>
        <w:tc>
          <w:tcPr>
            <w:tcW w:w="1361" w:type="dxa"/>
            <w:vAlign w:val="center"/>
          </w:tcPr>
          <w:p>
            <w:pPr>
              <w:pStyle w:val="11"/>
            </w:pPr>
            <w:r>
              <w:t>593.83</w:t>
            </w:r>
          </w:p>
        </w:tc>
        <w:tc>
          <w:tcPr>
            <w:tcW w:w="1361" w:type="dxa"/>
            <w:vAlign w:val="center"/>
          </w:tcPr>
          <w:p>
            <w:pPr>
              <w:pStyle w:val="11"/>
            </w:pPr>
            <w:r>
              <w:t>443.65</w:t>
            </w:r>
          </w:p>
        </w:tc>
        <w:tc>
          <w:tcPr>
            <w:tcW w:w="1361" w:type="dxa"/>
            <w:vAlign w:val="center"/>
          </w:tcPr>
          <w:p>
            <w:pPr>
              <w:pStyle w:val="11"/>
            </w:pPr>
            <w:r>
              <w:t>150.18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2040601</w:t>
            </w:r>
          </w:p>
        </w:tc>
        <w:tc>
          <w:tcPr>
            <w:tcW w:w="4535" w:type="dxa"/>
            <w:vAlign w:val="center"/>
          </w:tcPr>
          <w:p>
            <w:pPr>
              <w:pStyle w:val="12"/>
            </w:pPr>
            <w:r>
              <w:t>行政运行</w:t>
            </w:r>
          </w:p>
        </w:tc>
        <w:tc>
          <w:tcPr>
            <w:tcW w:w="1361" w:type="dxa"/>
            <w:vAlign w:val="center"/>
          </w:tcPr>
          <w:p>
            <w:pPr>
              <w:pStyle w:val="11"/>
            </w:pPr>
            <w:r>
              <w:t>443.65</w:t>
            </w:r>
          </w:p>
        </w:tc>
        <w:tc>
          <w:tcPr>
            <w:tcW w:w="1361" w:type="dxa"/>
            <w:vAlign w:val="center"/>
          </w:tcPr>
          <w:p>
            <w:pPr>
              <w:pStyle w:val="11"/>
            </w:pPr>
            <w:r>
              <w:t>443.65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2040604</w:t>
            </w:r>
          </w:p>
        </w:tc>
        <w:tc>
          <w:tcPr>
            <w:tcW w:w="4535" w:type="dxa"/>
            <w:vAlign w:val="center"/>
          </w:tcPr>
          <w:p>
            <w:pPr>
              <w:pStyle w:val="12"/>
            </w:pPr>
            <w:r>
              <w:t>基层司法业务</w:t>
            </w:r>
          </w:p>
        </w:tc>
        <w:tc>
          <w:tcPr>
            <w:tcW w:w="1361" w:type="dxa"/>
            <w:vAlign w:val="center"/>
          </w:tcPr>
          <w:p>
            <w:pPr>
              <w:pStyle w:val="11"/>
            </w:pPr>
            <w:r>
              <w:t>15.79</w:t>
            </w:r>
          </w:p>
        </w:tc>
        <w:tc>
          <w:tcPr>
            <w:tcW w:w="1361" w:type="dxa"/>
            <w:vAlign w:val="center"/>
          </w:tcPr>
          <w:p>
            <w:pPr>
              <w:pStyle w:val="11"/>
            </w:pPr>
          </w:p>
        </w:tc>
        <w:tc>
          <w:tcPr>
            <w:tcW w:w="1361" w:type="dxa"/>
            <w:vAlign w:val="center"/>
          </w:tcPr>
          <w:p>
            <w:pPr>
              <w:pStyle w:val="11"/>
            </w:pPr>
            <w:r>
              <w:t>15.79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2040605</w:t>
            </w:r>
          </w:p>
        </w:tc>
        <w:tc>
          <w:tcPr>
            <w:tcW w:w="4535" w:type="dxa"/>
            <w:vAlign w:val="center"/>
          </w:tcPr>
          <w:p>
            <w:pPr>
              <w:pStyle w:val="12"/>
            </w:pPr>
            <w:r>
              <w:t>普法宣传</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2040607</w:t>
            </w:r>
          </w:p>
        </w:tc>
        <w:tc>
          <w:tcPr>
            <w:tcW w:w="4535" w:type="dxa"/>
            <w:vAlign w:val="center"/>
          </w:tcPr>
          <w:p>
            <w:pPr>
              <w:pStyle w:val="12"/>
            </w:pPr>
            <w:r>
              <w:t>法律援助</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2040610</w:t>
            </w:r>
          </w:p>
        </w:tc>
        <w:tc>
          <w:tcPr>
            <w:tcW w:w="4535" w:type="dxa"/>
            <w:vAlign w:val="center"/>
          </w:tcPr>
          <w:p>
            <w:pPr>
              <w:pStyle w:val="12"/>
            </w:pPr>
            <w:r>
              <w:t>社区矫正</w:t>
            </w:r>
          </w:p>
        </w:tc>
        <w:tc>
          <w:tcPr>
            <w:tcW w:w="1361" w:type="dxa"/>
            <w:vAlign w:val="center"/>
          </w:tcPr>
          <w:p>
            <w:pPr>
              <w:pStyle w:val="11"/>
            </w:pPr>
            <w:r>
              <w:t>16.39</w:t>
            </w:r>
          </w:p>
        </w:tc>
        <w:tc>
          <w:tcPr>
            <w:tcW w:w="1361" w:type="dxa"/>
            <w:vAlign w:val="center"/>
          </w:tcPr>
          <w:p>
            <w:pPr>
              <w:pStyle w:val="11"/>
            </w:pPr>
          </w:p>
        </w:tc>
        <w:tc>
          <w:tcPr>
            <w:tcW w:w="1361" w:type="dxa"/>
            <w:vAlign w:val="center"/>
          </w:tcPr>
          <w:p>
            <w:pPr>
              <w:pStyle w:val="11"/>
            </w:pPr>
            <w:r>
              <w:t>16.39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2040612</w:t>
            </w:r>
          </w:p>
        </w:tc>
        <w:tc>
          <w:tcPr>
            <w:tcW w:w="4535" w:type="dxa"/>
            <w:vAlign w:val="center"/>
          </w:tcPr>
          <w:p>
            <w:pPr>
              <w:pStyle w:val="12"/>
            </w:pPr>
            <w:r>
              <w:t>法制建设</w:t>
            </w: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r>
              <w:t>24.00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2040699</w:t>
            </w:r>
          </w:p>
        </w:tc>
        <w:tc>
          <w:tcPr>
            <w:tcW w:w="4535" w:type="dxa"/>
            <w:vAlign w:val="center"/>
          </w:tcPr>
          <w:p>
            <w:pPr>
              <w:pStyle w:val="12"/>
            </w:pPr>
            <w:r>
              <w:t>其他司法支出</w:t>
            </w: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r>
              <w:t>86.00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80.50</w:t>
            </w:r>
          </w:p>
        </w:tc>
        <w:tc>
          <w:tcPr>
            <w:tcW w:w="1361" w:type="dxa"/>
            <w:vAlign w:val="center"/>
          </w:tcPr>
          <w:p>
            <w:pPr>
              <w:pStyle w:val="11"/>
            </w:pPr>
            <w:r>
              <w:t>80.50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24.50</w:t>
            </w:r>
          </w:p>
        </w:tc>
        <w:tc>
          <w:tcPr>
            <w:tcW w:w="1361" w:type="dxa"/>
            <w:vAlign w:val="center"/>
          </w:tcPr>
          <w:p>
            <w:pPr>
              <w:pStyle w:val="11"/>
            </w:pPr>
            <w:r>
              <w:t>24.50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50.00</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22.00</w:t>
            </w:r>
          </w:p>
        </w:tc>
        <w:tc>
          <w:tcPr>
            <w:tcW w:w="1361" w:type="dxa"/>
            <w:vAlign w:val="center"/>
          </w:tcPr>
          <w:p>
            <w:pPr>
              <w:pStyle w:val="11"/>
            </w:pPr>
            <w:r>
              <w:t>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35.00</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731.33</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593.83</w:t>
            </w:r>
          </w:p>
        </w:tc>
        <w:tc>
          <w:tcPr>
            <w:tcW w:w="1474" w:type="dxa"/>
            <w:vAlign w:val="center"/>
          </w:tcPr>
          <w:p>
            <w:pPr>
              <w:pStyle w:val="11"/>
            </w:pPr>
            <w:r>
              <w:t>593.83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80.50</w:t>
            </w:r>
          </w:p>
        </w:tc>
        <w:tc>
          <w:tcPr>
            <w:tcW w:w="1474" w:type="dxa"/>
            <w:vAlign w:val="center"/>
          </w:tcPr>
          <w:p>
            <w:pPr>
              <w:pStyle w:val="11"/>
            </w:pPr>
            <w:r>
              <w:t>80.50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22.00</w:t>
            </w:r>
          </w:p>
        </w:tc>
        <w:tc>
          <w:tcPr>
            <w:tcW w:w="1474" w:type="dxa"/>
            <w:vAlign w:val="center"/>
          </w:tcPr>
          <w:p>
            <w:pPr>
              <w:pStyle w:val="11"/>
            </w:pPr>
            <w:r>
              <w:t>22.00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35.00</w:t>
            </w:r>
          </w:p>
        </w:tc>
        <w:tc>
          <w:tcPr>
            <w:tcW w:w="1474" w:type="dxa"/>
            <w:vAlign w:val="center"/>
          </w:tcPr>
          <w:p>
            <w:pPr>
              <w:pStyle w:val="11"/>
            </w:pPr>
            <w:r>
              <w:t>35.00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731.33</w:t>
            </w:r>
          </w:p>
        </w:tc>
        <w:tc>
          <w:tcPr>
            <w:tcW w:w="3402" w:type="dxa"/>
            <w:vAlign w:val="center"/>
          </w:tcPr>
          <w:p>
            <w:pPr>
              <w:pStyle w:val="14"/>
            </w:pPr>
            <w:r>
              <w:t>本年支出合计</w:t>
            </w:r>
          </w:p>
        </w:tc>
        <w:tc>
          <w:tcPr>
            <w:tcW w:w="1474" w:type="dxa"/>
            <w:vAlign w:val="center"/>
          </w:tcPr>
          <w:p>
            <w:pPr>
              <w:pStyle w:val="15"/>
            </w:pPr>
            <w:r>
              <w:t>731.33</w:t>
            </w:r>
          </w:p>
        </w:tc>
        <w:tc>
          <w:tcPr>
            <w:tcW w:w="1474" w:type="dxa"/>
            <w:vAlign w:val="center"/>
          </w:tcPr>
          <w:p>
            <w:pPr>
              <w:pStyle w:val="15"/>
            </w:pPr>
            <w:r>
              <w:t>731.33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731.33</w:t>
            </w:r>
          </w:p>
        </w:tc>
        <w:tc>
          <w:tcPr>
            <w:tcW w:w="3402" w:type="dxa"/>
            <w:vAlign w:val="center"/>
          </w:tcPr>
          <w:p>
            <w:pPr>
              <w:pStyle w:val="14"/>
            </w:pPr>
            <w:r>
              <w:t>支出总计</w:t>
            </w:r>
          </w:p>
        </w:tc>
        <w:tc>
          <w:tcPr>
            <w:tcW w:w="1474" w:type="dxa"/>
            <w:vAlign w:val="center"/>
          </w:tcPr>
          <w:p>
            <w:pPr>
              <w:pStyle w:val="15"/>
            </w:pPr>
            <w:r>
              <w:t>731.33</w:t>
            </w:r>
          </w:p>
        </w:tc>
        <w:tc>
          <w:tcPr>
            <w:tcW w:w="1474" w:type="dxa"/>
            <w:vAlign w:val="center"/>
          </w:tcPr>
          <w:p>
            <w:pPr>
              <w:pStyle w:val="15"/>
            </w:pPr>
            <w:r>
              <w:t>731.33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731.33</w:t>
            </w:r>
          </w:p>
        </w:tc>
        <w:tc>
          <w:tcPr>
            <w:tcW w:w="2551" w:type="dxa"/>
            <w:vAlign w:val="center"/>
          </w:tcPr>
          <w:p>
            <w:pPr>
              <w:pStyle w:val="15"/>
            </w:pPr>
            <w:r>
              <w:t>581.15</w:t>
            </w:r>
          </w:p>
        </w:tc>
        <w:tc>
          <w:tcPr>
            <w:tcW w:w="2551" w:type="dxa"/>
            <w:vAlign w:val="center"/>
          </w:tcPr>
          <w:p>
            <w:pPr>
              <w:pStyle w:val="15"/>
            </w:pPr>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593.83</w:t>
            </w:r>
          </w:p>
        </w:tc>
        <w:tc>
          <w:tcPr>
            <w:tcW w:w="2551" w:type="dxa"/>
            <w:vAlign w:val="center"/>
          </w:tcPr>
          <w:p>
            <w:pPr>
              <w:pStyle w:val="11"/>
            </w:pPr>
            <w:r>
              <w:t>443.65</w:t>
            </w:r>
          </w:p>
        </w:tc>
        <w:tc>
          <w:tcPr>
            <w:tcW w:w="2551" w:type="dxa"/>
            <w:vAlign w:val="center"/>
          </w:tcPr>
          <w:p>
            <w:pPr>
              <w:pStyle w:val="11"/>
            </w:pPr>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20406</w:t>
            </w:r>
          </w:p>
        </w:tc>
        <w:tc>
          <w:tcPr>
            <w:tcW w:w="4535" w:type="dxa"/>
            <w:vAlign w:val="center"/>
          </w:tcPr>
          <w:p>
            <w:pPr>
              <w:pStyle w:val="12"/>
            </w:pPr>
            <w:r>
              <w:t>司法</w:t>
            </w:r>
          </w:p>
        </w:tc>
        <w:tc>
          <w:tcPr>
            <w:tcW w:w="2551" w:type="dxa"/>
            <w:vAlign w:val="center"/>
          </w:tcPr>
          <w:p>
            <w:pPr>
              <w:pStyle w:val="11"/>
            </w:pPr>
            <w:r>
              <w:t>593.83</w:t>
            </w:r>
          </w:p>
        </w:tc>
        <w:tc>
          <w:tcPr>
            <w:tcW w:w="2551" w:type="dxa"/>
            <w:vAlign w:val="center"/>
          </w:tcPr>
          <w:p>
            <w:pPr>
              <w:pStyle w:val="11"/>
            </w:pPr>
            <w:r>
              <w:t>443.65</w:t>
            </w:r>
          </w:p>
        </w:tc>
        <w:tc>
          <w:tcPr>
            <w:tcW w:w="2551" w:type="dxa"/>
            <w:vAlign w:val="center"/>
          </w:tcPr>
          <w:p>
            <w:pPr>
              <w:pStyle w:val="11"/>
            </w:pPr>
            <w:r>
              <w:t>150.18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2040601</w:t>
            </w:r>
          </w:p>
        </w:tc>
        <w:tc>
          <w:tcPr>
            <w:tcW w:w="4535" w:type="dxa"/>
            <w:vAlign w:val="center"/>
          </w:tcPr>
          <w:p>
            <w:pPr>
              <w:pStyle w:val="12"/>
            </w:pPr>
            <w:r>
              <w:t>行政运行</w:t>
            </w:r>
          </w:p>
        </w:tc>
        <w:tc>
          <w:tcPr>
            <w:tcW w:w="2551" w:type="dxa"/>
            <w:vAlign w:val="center"/>
          </w:tcPr>
          <w:p>
            <w:pPr>
              <w:pStyle w:val="11"/>
            </w:pPr>
            <w:r>
              <w:t>443.65</w:t>
            </w:r>
          </w:p>
        </w:tc>
        <w:tc>
          <w:tcPr>
            <w:tcW w:w="2551" w:type="dxa"/>
            <w:vAlign w:val="center"/>
          </w:tcPr>
          <w:p>
            <w:pPr>
              <w:pStyle w:val="11"/>
            </w:pPr>
            <w:r>
              <w:t>443.65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2040604</w:t>
            </w:r>
          </w:p>
        </w:tc>
        <w:tc>
          <w:tcPr>
            <w:tcW w:w="4535" w:type="dxa"/>
            <w:vAlign w:val="center"/>
          </w:tcPr>
          <w:p>
            <w:pPr>
              <w:pStyle w:val="12"/>
            </w:pPr>
            <w:r>
              <w:t>基层司法业务</w:t>
            </w:r>
          </w:p>
        </w:tc>
        <w:tc>
          <w:tcPr>
            <w:tcW w:w="2551" w:type="dxa"/>
            <w:vAlign w:val="center"/>
          </w:tcPr>
          <w:p>
            <w:pPr>
              <w:pStyle w:val="11"/>
            </w:pPr>
            <w:r>
              <w:t>15.79</w:t>
            </w:r>
          </w:p>
        </w:tc>
        <w:tc>
          <w:tcPr>
            <w:tcW w:w="2551" w:type="dxa"/>
            <w:vAlign w:val="center"/>
          </w:tcPr>
          <w:p>
            <w:pPr>
              <w:pStyle w:val="11"/>
            </w:pPr>
          </w:p>
        </w:tc>
        <w:tc>
          <w:tcPr>
            <w:tcW w:w="2551" w:type="dxa"/>
            <w:vAlign w:val="center"/>
          </w:tcPr>
          <w:p>
            <w:pPr>
              <w:pStyle w:val="11"/>
            </w:pPr>
            <w:r>
              <w:t>15.79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2040605</w:t>
            </w:r>
          </w:p>
        </w:tc>
        <w:tc>
          <w:tcPr>
            <w:tcW w:w="4535" w:type="dxa"/>
            <w:vAlign w:val="center"/>
          </w:tcPr>
          <w:p>
            <w:pPr>
              <w:pStyle w:val="12"/>
            </w:pPr>
            <w:r>
              <w:t>普法宣传</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2040607</w:t>
            </w:r>
          </w:p>
        </w:tc>
        <w:tc>
          <w:tcPr>
            <w:tcW w:w="4535" w:type="dxa"/>
            <w:vAlign w:val="center"/>
          </w:tcPr>
          <w:p>
            <w:pPr>
              <w:pStyle w:val="12"/>
            </w:pPr>
            <w:r>
              <w:t>法律援助</w:t>
            </w:r>
          </w:p>
        </w:tc>
        <w:tc>
          <w:tcPr>
            <w:tcW w:w="2551" w:type="dxa"/>
            <w:vAlign w:val="center"/>
          </w:tcPr>
          <w:p>
            <w:pPr>
              <w:pStyle w:val="11"/>
            </w:pPr>
            <w:r>
              <w:t>7.00</w:t>
            </w:r>
          </w:p>
        </w:tc>
        <w:tc>
          <w:tcPr>
            <w:tcW w:w="2551" w:type="dxa"/>
            <w:vAlign w:val="center"/>
          </w:tcPr>
          <w:p>
            <w:pPr>
              <w:pStyle w:val="11"/>
            </w:pPr>
          </w:p>
        </w:tc>
        <w:tc>
          <w:tcPr>
            <w:tcW w:w="2551" w:type="dxa"/>
            <w:vAlign w:val="center"/>
          </w:tcPr>
          <w:p>
            <w:pPr>
              <w:pStyle w:val="11"/>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2040610</w:t>
            </w:r>
          </w:p>
        </w:tc>
        <w:tc>
          <w:tcPr>
            <w:tcW w:w="4535" w:type="dxa"/>
            <w:vAlign w:val="center"/>
          </w:tcPr>
          <w:p>
            <w:pPr>
              <w:pStyle w:val="12"/>
            </w:pPr>
            <w:r>
              <w:t>社区矫正</w:t>
            </w:r>
          </w:p>
        </w:tc>
        <w:tc>
          <w:tcPr>
            <w:tcW w:w="2551" w:type="dxa"/>
            <w:vAlign w:val="center"/>
          </w:tcPr>
          <w:p>
            <w:pPr>
              <w:pStyle w:val="11"/>
            </w:pPr>
            <w:r>
              <w:t>16.39</w:t>
            </w:r>
          </w:p>
        </w:tc>
        <w:tc>
          <w:tcPr>
            <w:tcW w:w="2551" w:type="dxa"/>
            <w:vAlign w:val="center"/>
          </w:tcPr>
          <w:p>
            <w:pPr>
              <w:pStyle w:val="11"/>
            </w:pPr>
          </w:p>
        </w:tc>
        <w:tc>
          <w:tcPr>
            <w:tcW w:w="2551" w:type="dxa"/>
            <w:vAlign w:val="center"/>
          </w:tcPr>
          <w:p>
            <w:pPr>
              <w:pStyle w:val="11"/>
            </w:pPr>
            <w:r>
              <w:t>16.39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2040612</w:t>
            </w:r>
          </w:p>
        </w:tc>
        <w:tc>
          <w:tcPr>
            <w:tcW w:w="4535" w:type="dxa"/>
            <w:vAlign w:val="center"/>
          </w:tcPr>
          <w:p>
            <w:pPr>
              <w:pStyle w:val="12"/>
            </w:pPr>
            <w:r>
              <w:t>法制建设</w:t>
            </w:r>
          </w:p>
        </w:tc>
        <w:tc>
          <w:tcPr>
            <w:tcW w:w="2551" w:type="dxa"/>
            <w:vAlign w:val="center"/>
          </w:tcPr>
          <w:p>
            <w:pPr>
              <w:pStyle w:val="11"/>
            </w:pPr>
            <w:r>
              <w:t>24.00</w:t>
            </w:r>
          </w:p>
        </w:tc>
        <w:tc>
          <w:tcPr>
            <w:tcW w:w="2551" w:type="dxa"/>
            <w:vAlign w:val="center"/>
          </w:tcPr>
          <w:p>
            <w:pPr>
              <w:pStyle w:val="11"/>
            </w:pPr>
          </w:p>
        </w:tc>
        <w:tc>
          <w:tcPr>
            <w:tcW w:w="2551" w:type="dxa"/>
            <w:vAlign w:val="center"/>
          </w:tcPr>
          <w:p>
            <w:pPr>
              <w:pStyle w:val="11"/>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2040699</w:t>
            </w:r>
          </w:p>
        </w:tc>
        <w:tc>
          <w:tcPr>
            <w:tcW w:w="4535" w:type="dxa"/>
            <w:vAlign w:val="center"/>
          </w:tcPr>
          <w:p>
            <w:pPr>
              <w:pStyle w:val="12"/>
            </w:pPr>
            <w:r>
              <w:t>其他司法支出</w:t>
            </w:r>
          </w:p>
        </w:tc>
        <w:tc>
          <w:tcPr>
            <w:tcW w:w="2551" w:type="dxa"/>
            <w:vAlign w:val="center"/>
          </w:tcPr>
          <w:p>
            <w:pPr>
              <w:pStyle w:val="11"/>
            </w:pPr>
            <w:r>
              <w:t>86.00</w:t>
            </w:r>
          </w:p>
        </w:tc>
        <w:tc>
          <w:tcPr>
            <w:tcW w:w="2551" w:type="dxa"/>
            <w:vAlign w:val="center"/>
          </w:tcPr>
          <w:p>
            <w:pPr>
              <w:pStyle w:val="11"/>
            </w:pPr>
          </w:p>
        </w:tc>
        <w:tc>
          <w:tcPr>
            <w:tcW w:w="2551" w:type="dxa"/>
            <w:vAlign w:val="center"/>
          </w:tcPr>
          <w:p>
            <w:pPr>
              <w:pStyle w:val="11"/>
            </w:pPr>
            <w:r>
              <w:t>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80.50</w:t>
            </w:r>
          </w:p>
        </w:tc>
        <w:tc>
          <w:tcPr>
            <w:tcW w:w="2551" w:type="dxa"/>
            <w:vAlign w:val="center"/>
          </w:tcPr>
          <w:p>
            <w:pPr>
              <w:pStyle w:val="11"/>
            </w:pPr>
            <w:r>
              <w:t>80.50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581.15</w:t>
            </w:r>
          </w:p>
        </w:tc>
        <w:tc>
          <w:tcPr>
            <w:tcW w:w="2551" w:type="dxa"/>
            <w:vAlign w:val="center"/>
          </w:tcPr>
          <w:p>
            <w:pPr>
              <w:pStyle w:val="15"/>
            </w:pPr>
            <w:r>
              <w:t>506.45</w:t>
            </w:r>
          </w:p>
        </w:tc>
        <w:tc>
          <w:tcPr>
            <w:tcW w:w="2551" w:type="dxa"/>
            <w:vAlign w:val="center"/>
          </w:tcPr>
          <w:p>
            <w:pPr>
              <w:pStyle w:val="15"/>
            </w:pPr>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476.10</w:t>
            </w:r>
          </w:p>
        </w:tc>
        <w:tc>
          <w:tcPr>
            <w:tcW w:w="2551" w:type="dxa"/>
            <w:vAlign w:val="center"/>
          </w:tcPr>
          <w:p>
            <w:pPr>
              <w:pStyle w:val="11"/>
            </w:pPr>
            <w:r>
              <w:t>476.10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150.00</w:t>
            </w:r>
          </w:p>
        </w:tc>
        <w:tc>
          <w:tcPr>
            <w:tcW w:w="2551" w:type="dxa"/>
            <w:vAlign w:val="center"/>
          </w:tcPr>
          <w:p>
            <w:pPr>
              <w:pStyle w:val="11"/>
            </w:pPr>
            <w:r>
              <w:t>150.00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109.00</w:t>
            </w:r>
          </w:p>
        </w:tc>
        <w:tc>
          <w:tcPr>
            <w:tcW w:w="2551" w:type="dxa"/>
            <w:vAlign w:val="center"/>
          </w:tcPr>
          <w:p>
            <w:pPr>
              <w:pStyle w:val="11"/>
            </w:pPr>
            <w:r>
              <w:t>109.00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82.00</w:t>
            </w:r>
          </w:p>
        </w:tc>
        <w:tc>
          <w:tcPr>
            <w:tcW w:w="2551" w:type="dxa"/>
            <w:vAlign w:val="center"/>
          </w:tcPr>
          <w:p>
            <w:pPr>
              <w:pStyle w:val="11"/>
            </w:pPr>
            <w:r>
              <w:t>82.00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50.00</w:t>
            </w:r>
          </w:p>
        </w:tc>
        <w:tc>
          <w:tcPr>
            <w:tcW w:w="2551" w:type="dxa"/>
            <w:vAlign w:val="center"/>
          </w:tcPr>
          <w:p>
            <w:pPr>
              <w:pStyle w:val="11"/>
            </w:pPr>
            <w:r>
              <w:t>50.00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22.00</w:t>
            </w:r>
          </w:p>
        </w:tc>
        <w:tc>
          <w:tcPr>
            <w:tcW w:w="2551" w:type="dxa"/>
            <w:vAlign w:val="center"/>
          </w:tcPr>
          <w:p>
            <w:pPr>
              <w:pStyle w:val="11"/>
            </w:pPr>
            <w:r>
              <w:t>22.00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35.00</w:t>
            </w:r>
          </w:p>
        </w:tc>
        <w:tc>
          <w:tcPr>
            <w:tcW w:w="2551" w:type="dxa"/>
            <w:vAlign w:val="center"/>
          </w:tcPr>
          <w:p>
            <w:pPr>
              <w:pStyle w:val="11"/>
            </w:pPr>
            <w:r>
              <w:t>35.00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9.10</w:t>
            </w:r>
          </w:p>
        </w:tc>
        <w:tc>
          <w:tcPr>
            <w:tcW w:w="2551" w:type="dxa"/>
            <w:vAlign w:val="center"/>
          </w:tcPr>
          <w:p>
            <w:pPr>
              <w:pStyle w:val="11"/>
            </w:pPr>
            <w:r>
              <w:t>9.10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74.70</w:t>
            </w:r>
          </w:p>
        </w:tc>
        <w:tc>
          <w:tcPr>
            <w:tcW w:w="2551" w:type="dxa"/>
            <w:vAlign w:val="center"/>
          </w:tcPr>
          <w:p>
            <w:pPr>
              <w:pStyle w:val="11"/>
            </w:pPr>
          </w:p>
        </w:tc>
        <w:tc>
          <w:tcPr>
            <w:tcW w:w="2551" w:type="dxa"/>
            <w:vAlign w:val="center"/>
          </w:tcPr>
          <w:p>
            <w:pPr>
              <w:pStyle w:val="11"/>
            </w:pPr>
            <w:r>
              <w:t>74.70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27.58</w:t>
            </w:r>
          </w:p>
        </w:tc>
        <w:tc>
          <w:tcPr>
            <w:tcW w:w="2551" w:type="dxa"/>
            <w:vAlign w:val="center"/>
          </w:tcPr>
          <w:p>
            <w:pPr>
              <w:pStyle w:val="11"/>
            </w:pPr>
          </w:p>
        </w:tc>
        <w:tc>
          <w:tcPr>
            <w:tcW w:w="2551" w:type="dxa"/>
            <w:vAlign w:val="center"/>
          </w:tcPr>
          <w:p>
            <w:pPr>
              <w:pStyle w:val="11"/>
            </w:pPr>
            <w:r>
              <w:t>27.58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30225</w:t>
            </w:r>
          </w:p>
        </w:tc>
        <w:tc>
          <w:tcPr>
            <w:tcW w:w="4535" w:type="dxa"/>
            <w:vAlign w:val="center"/>
          </w:tcPr>
          <w:p>
            <w:pPr>
              <w:pStyle w:val="12"/>
            </w:pPr>
            <w:r>
              <w:t>专用燃料费</w:t>
            </w:r>
          </w:p>
        </w:tc>
        <w:tc>
          <w:tcPr>
            <w:tcW w:w="2551" w:type="dxa"/>
            <w:vAlign w:val="center"/>
          </w:tcPr>
          <w:p>
            <w:pPr>
              <w:pStyle w:val="11"/>
            </w:pPr>
            <w:r>
              <w:t>9.00</w:t>
            </w:r>
          </w:p>
        </w:tc>
        <w:tc>
          <w:tcPr>
            <w:tcW w:w="2551" w:type="dxa"/>
            <w:vAlign w:val="center"/>
          </w:tcPr>
          <w:p>
            <w:pPr>
              <w:pStyle w:val="11"/>
            </w:pPr>
          </w:p>
        </w:tc>
        <w:tc>
          <w:tcPr>
            <w:tcW w:w="2551" w:type="dxa"/>
            <w:vAlign w:val="center"/>
          </w:tcPr>
          <w:p>
            <w:pPr>
              <w:pStyle w:val="11"/>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3.60</w:t>
            </w:r>
          </w:p>
        </w:tc>
        <w:tc>
          <w:tcPr>
            <w:tcW w:w="2551" w:type="dxa"/>
            <w:vAlign w:val="center"/>
          </w:tcPr>
          <w:p>
            <w:pPr>
              <w:pStyle w:val="11"/>
            </w:pPr>
          </w:p>
        </w:tc>
        <w:tc>
          <w:tcPr>
            <w:tcW w:w="2551" w:type="dxa"/>
            <w:vAlign w:val="center"/>
          </w:tcPr>
          <w:p>
            <w:pPr>
              <w:pStyle w:val="11"/>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19.32</w:t>
            </w:r>
          </w:p>
        </w:tc>
        <w:tc>
          <w:tcPr>
            <w:tcW w:w="2551" w:type="dxa"/>
            <w:vAlign w:val="center"/>
          </w:tcPr>
          <w:p>
            <w:pPr>
              <w:pStyle w:val="11"/>
            </w:pPr>
          </w:p>
        </w:tc>
        <w:tc>
          <w:tcPr>
            <w:tcW w:w="2551" w:type="dxa"/>
            <w:vAlign w:val="center"/>
          </w:tcPr>
          <w:p>
            <w:pPr>
              <w:pStyle w:val="11"/>
            </w:pPr>
            <w:r>
              <w:t>19.32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30.35</w:t>
            </w:r>
          </w:p>
        </w:tc>
        <w:tc>
          <w:tcPr>
            <w:tcW w:w="2551" w:type="dxa"/>
            <w:vAlign w:val="center"/>
          </w:tcPr>
          <w:p>
            <w:pPr>
              <w:pStyle w:val="11"/>
            </w:pPr>
            <w:r>
              <w:t>30.35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24.50</w:t>
            </w:r>
          </w:p>
        </w:tc>
        <w:tc>
          <w:tcPr>
            <w:tcW w:w="2551" w:type="dxa"/>
            <w:vAlign w:val="center"/>
          </w:tcPr>
          <w:p>
            <w:pPr>
              <w:pStyle w:val="11"/>
            </w:pPr>
            <w:r>
              <w:t>24.50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0.15</w:t>
            </w:r>
          </w:p>
        </w:tc>
        <w:tc>
          <w:tcPr>
            <w:tcW w:w="2551" w:type="dxa"/>
            <w:vAlign w:val="center"/>
          </w:tcPr>
          <w:p>
            <w:pPr>
              <w:pStyle w:val="11"/>
            </w:pPr>
            <w:r>
              <w:t>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0.70</w:t>
            </w:r>
          </w:p>
        </w:tc>
        <w:tc>
          <w:tcPr>
            <w:tcW w:w="2551" w:type="dxa"/>
            <w:vAlign w:val="center"/>
          </w:tcPr>
          <w:p>
            <w:pPr>
              <w:pStyle w:val="11"/>
            </w:pPr>
            <w:r>
              <w:t>0.70</w:t>
            </w:r>
          </w:p>
        </w:tc>
        <w:tc>
          <w:tcPr>
            <w:tcW w:w="2551" w:type="dxa"/>
            <w:vAlign w:val="center"/>
          </w:tcPr>
          <w:p>
            <w:pPr>
              <w:pStyle w:val="11"/>
            </w:pPr>
          </w:p>
        </w:tc>
      </w:tr>
    </w:tbl>
    <w:p>
      <w:pPr>
        <w:sectPr>
          <w:pgSz w:w="16840" w:h="11900" w:orient="landscape"/>
          <w:pgMar w:top="1361" w:right="1020" w:bottom="1134" w:left="1020" w:header="720" w:footer="720" w:gutter="0"/>
          <w:cols w:space="720" w:num="1"/>
          <w:docGrid w:linePitch="326" w:charSpace="0"/>
        </w:sectPr>
      </w:pPr>
    </w:p>
    <w:p>
      <w:pPr>
        <w:jc w:val="center"/>
        <w:outlineLvl w:val="1"/>
      </w:pPr>
      <w:bookmarkStart w:id="6" w:name="_Toc_2_2_0000000007"/>
      <w:r>
        <w:rPr>
          <w:rFonts w:asci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315灵寿县司法局</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ind w:firstLine="420"/>
      </w:pPr>
      <w:r>
        <w:rPr>
          <w:rFonts w:asci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灵寿县司法局2022年部门预算信息公开情况说明</w:t>
      </w:r>
    </w:p>
    <w:p>
      <w:pPr>
        <w:jc w:val="center"/>
      </w:pPr>
      <w:r>
        <w:rPr>
          <w:rFonts w:ascii="方正小标宋_GBK" w:eastAsia="方正小标宋_GBK" w:cs="方正小标宋_GBK"/>
          <w:color w:val="000000"/>
          <w:sz w:val="44"/>
        </w:rPr>
        <w:t>灵寿县司法局2022年部门预算信息公开情况说明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bookmarkStart w:id="18" w:name="_GoBack"/>
      <w:bookmarkEnd w:id="18"/>
      <w:r>
        <w:rPr>
          <w:rFonts w:eastAsia="方正仿宋_GBK"/>
          <w:color w:val="000000"/>
          <w:sz w:val="28"/>
        </w:rPr>
        <w:t>预算法》、《地方预决算公开操作规程》和《关于进一步推进预算公开工作的实施意见》规定，现将灵寿县司法局2022年部门预算公开如下：</w:t>
      </w:r>
    </w:p>
    <w:p>
      <w:pPr>
        <w:spacing w:before="10" w:after="10" w:line="360" w:lineRule="auto"/>
        <w:ind w:firstLine="640"/>
        <w:outlineLvl w:val="2"/>
      </w:pPr>
      <w:bookmarkStart w:id="9" w:name="_Toc_3_3_0000000010"/>
      <w:r>
        <w:rPr>
          <w:rFonts w:ascii="黑体" w:eastAsia="黑体" w:cs="黑体"/>
          <w:color w:val="000000"/>
          <w:sz w:val="32"/>
        </w:rPr>
        <w:t>一、部门职责及机构设置情况</w:t>
      </w:r>
      <w:bookmarkEnd w:id="9"/>
    </w:p>
    <w:p>
      <w:pPr>
        <w:ind w:firstLine="640"/>
      </w:pPr>
      <w:r>
        <w:rPr>
          <w:rFonts w:ascii="方正楷体_GBK" w:eastAsia="方正楷体_GBK" w:cs="方正楷体_GBK"/>
          <w:b/>
          <w:color w:val="000000"/>
          <w:sz w:val="32"/>
        </w:rPr>
        <w:t>部门职责：</w:t>
      </w:r>
    </w:p>
    <w:p>
      <w:pPr>
        <w:pStyle w:val="17"/>
      </w:pPr>
      <w:r>
        <w:t>（一）承担全面依法治县重大问题的政策研究。组织协调有关方面提出全面依法治县中长期规划建议，负责有关重大决策部署督察工作。</w:t>
      </w:r>
    </w:p>
    <w:p>
      <w:pPr>
        <w:pStyle w:val="17"/>
      </w:pPr>
      <w:r>
        <w:t>（二）负责县政府规范性文件的备案审查工作。负责对县政府政策措施、规范性文件和合同协议的合法性审核工作；承办县政府交办的涉法事务；承办县政府规章上报市政府和县人大常委会备案工作。</w:t>
      </w:r>
    </w:p>
    <w:p>
      <w:pPr>
        <w:pStyle w:val="17"/>
      </w:pPr>
      <w:r>
        <w:t>（三承担统筹推进灵寿县法治政府建设的责任。指导、监督县政府各部门依法行政工作；负责综合协调行政执法，推进行政执法体制改革有关工作，推进严格规范公正文明执法；依法承办行政复议案件；受县政府委托，代理行政诉讼案件的应诉；受县政府委托，代理由省、市政府审理的行政复议裁决案件；指导、监督全县行政复议和行政应诉工作。</w:t>
      </w:r>
    </w:p>
    <w:p>
      <w:pPr>
        <w:pStyle w:val="17"/>
      </w:pPr>
      <w:r>
        <w:t>（四）承担统筹规划全县法治社会建设的责任。负责拟订全县法治宣传教育规划，组织实施普法宣传工作；负责全县依法治理和法治创建工作，推动全县人民参与和促进法治建设，负责全县调解工作，负责全县人民陪审员、人民监督员选任管理工作；指导全县司法所建设。</w:t>
      </w:r>
    </w:p>
    <w:p>
      <w:pPr>
        <w:pStyle w:val="17"/>
      </w:pPr>
      <w:r>
        <w:t>（五）负责全县矫正工作，负责刑满释放人员帮教安置工作。</w:t>
      </w:r>
    </w:p>
    <w:p>
      <w:pPr>
        <w:pStyle w:val="17"/>
      </w:pPr>
      <w:r>
        <w:t>（六）负责拟订公共法律服务体系建设规划并组织实施，统筹和布局全县法律服务资源；负责全县律师、公证、法律援助、司法鉴定和基层法律服务管理工作。</w:t>
      </w:r>
    </w:p>
    <w:p>
      <w:pPr>
        <w:pStyle w:val="17"/>
      </w:pPr>
      <w:r>
        <w:t>（七）规划、协调、指导全县法治人才队伍建设相关工作；负责本系统队伍建设，负责本系统人事管理和督察工作。</w:t>
      </w:r>
    </w:p>
    <w:p>
      <w:pPr>
        <w:pStyle w:val="17"/>
      </w:pPr>
      <w:r>
        <w:t>（八）完成县委、县政府交办的其他任务。</w:t>
      </w:r>
    </w:p>
    <w:p>
      <w:pPr>
        <w:ind w:firstLine="640"/>
      </w:pPr>
      <w:r>
        <w:rPr>
          <w:rFonts w:ascii="方正楷体_GBK" w:eastAsia="方正楷体_GBK" w:cs="方正楷体_GBK"/>
          <w:b/>
          <w:color w:val="000000"/>
          <w:sz w:val="32"/>
        </w:rPr>
        <w:t>机构设置：</w:t>
      </w:r>
    </w:p>
    <w:p>
      <w:pPr>
        <w:jc w:val="center"/>
      </w:pPr>
      <w:r>
        <w:rPr>
          <w:rFonts w:asci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灵寿县司法局本级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按照预算管理有关规定，目前我省部门预算的编制实行综合预算管理，即全部收入和支出都反映在预算中。灵寿县司法局机关及所属事业单位的收支包含在部门预算中。</w:t>
      </w:r>
    </w:p>
    <w:p>
      <w:pPr>
        <w:pStyle w:val="18"/>
      </w:pPr>
      <w:r>
        <w:t>1、收入说明</w:t>
      </w:r>
    </w:p>
    <w:p>
      <w:pPr>
        <w:pStyle w:val="18"/>
      </w:pPr>
      <w:r>
        <w:t>反映本部门当年全部收入。2022年预算收入731.33万元，其中：一般公共预算收入731.33万元，基金预算收入0万元，财政专户核拨收入0万元，其他来源收入0万元。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收支预算总表支出栏、基本支出表、项目支出表按经济分类和支出功能分类科目编制，反映灵寿县司法局</w:t>
      </w:r>
      <w:r>
        <w:rPr>
          <w:rFonts w:hint="eastAsia"/>
          <w:lang w:eastAsia="zh-CN"/>
        </w:rPr>
        <w:t>2022</w:t>
      </w:r>
      <w:r>
        <w:t>年度部门预算中支出预算的总体情况。2022年部门支出预算为731.33万元，其中基本支出581.15万元，包括人员经费506.45万元和日常公用经费74.7万元；项目支出150.18万元，主要为基层司法业务支出101.79万元，社区矫正支出16.39万元，普法宣传支出1万元，法律援助支出7万元，法制建设支出24万元;其他支出0万元。</w:t>
      </w:r>
    </w:p>
    <w:p>
      <w:pPr>
        <w:pStyle w:val="18"/>
      </w:pPr>
      <w:r>
        <w:t>3、比上年增减情况</w:t>
      </w:r>
    </w:p>
    <w:p>
      <w:pPr>
        <w:pStyle w:val="18"/>
      </w:pPr>
      <w:r>
        <w:t>2022年部门预算收支安排731.33万元，较2021年增加14.42万元，其中：基本支出增加3.71万元，主要是日常公用经费增加；项目支出增加10.71万元，主要是增加下达上级专款；其他支出无增减变化。</w:t>
      </w:r>
    </w:p>
    <w:p>
      <w:pPr>
        <w:spacing w:before="10" w:after="10" w:line="360" w:lineRule="auto"/>
        <w:ind w:firstLine="640"/>
        <w:outlineLvl w:val="2"/>
      </w:pPr>
      <w:bookmarkStart w:id="11" w:name="_Toc_3_3_0000000012"/>
      <w:r>
        <w:rPr>
          <w:rFonts w:ascii="黑体" w:eastAsia="黑体" w:cs="黑体"/>
          <w:color w:val="000000"/>
          <w:sz w:val="32"/>
        </w:rPr>
        <w:t>三、机关运行经费安排情况</w:t>
      </w:r>
      <w:bookmarkEnd w:id="11"/>
    </w:p>
    <w:p>
      <w:pPr>
        <w:pStyle w:val="19"/>
      </w:pPr>
      <w:r>
        <w:t>2022年，我部门机关运行经费共计安排74.7万元，主要用于保证机关正常运转的办公及印刷费、邮电费、差旅费、会议费、福利费、专用材料及一般设备购置费、办公用房水电费、办公用房取暖费、日常维修费等支出。</w:t>
      </w:r>
    </w:p>
    <w:p>
      <w:pPr>
        <w:spacing w:before="10" w:after="10" w:line="360" w:lineRule="auto"/>
        <w:ind w:firstLine="640"/>
        <w:outlineLvl w:val="2"/>
      </w:pPr>
      <w:bookmarkStart w:id="12" w:name="_Toc_3_3_0000000013"/>
      <w:r>
        <w:rPr>
          <w:rFonts w:ascii="黑体" w:eastAsia="黑体" w:cs="黑体"/>
          <w:color w:val="000000"/>
          <w:sz w:val="32"/>
        </w:rPr>
        <w:t>四、财政拨款“三公”经费预算情况及增减变化原因</w:t>
      </w:r>
      <w:bookmarkEnd w:id="12"/>
    </w:p>
    <w:p>
      <w:pPr>
        <w:pStyle w:val="20"/>
      </w:pPr>
      <w:r>
        <w:t>2022年，我部门财政拨款“三公”经费预算安排0万元，其中：因公出国（境）费0万元；公务用车购置及运维费0万元（其中：公务用车购置费0万元，公务用车运行维护费0万元)；公务接待费0万元。“三公”经费与上年持平，无增减变化。</w:t>
      </w:r>
    </w:p>
    <w:p>
      <w:pPr>
        <w:spacing w:before="10" w:after="10" w:line="360" w:lineRule="auto"/>
        <w:ind w:firstLine="640"/>
        <w:outlineLvl w:val="2"/>
      </w:pPr>
      <w:bookmarkStart w:id="13" w:name="_Toc_3_3_0000000014"/>
      <w:r>
        <w:rPr>
          <w:rFonts w:ascii="黑体" w:eastAsia="黑体" w:cs="黑体"/>
          <w:color w:val="000000"/>
          <w:sz w:val="32"/>
        </w:rPr>
        <w:t>五、预算绩效信息</w:t>
      </w:r>
      <w:bookmarkEnd w:id="13"/>
    </w:p>
    <w:p>
      <w:pPr>
        <w:ind w:firstLine="640"/>
      </w:pPr>
      <w:r>
        <w:rPr>
          <w:rFonts w:asci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1"/>
      </w:pPr>
      <w:r>
        <w:t>坚持以习近平新时代中国特色社会主义思想为指导，充分发挥县委全面依法治县委员会办公室职责作用，全面推进灵寿县法治政府和法治社会建设，承担全面依法治县重大问题的政策研究，负责县政府规范性文件的备案审查工作。健全矛盾纠纷解决机制，人民群众合法权益得到切实维护。加快整合全县公共法律服务资源，全面推动律师、公证、司法鉴定、普法宣传等工作。严格执法监督检查、扎实推进严格公正文明执法，行政执法公信力不断增强。深入推进全县司法行政队伍革命化正规化专业化职业化建设，着力提升全县司法行政系统信息化建设水平。研究审查质量明显提高、执法水平大幅提升、法律服务更加完善，人民群众的法治获得感、满意度不断增强。</w:t>
      </w:r>
    </w:p>
    <w:p>
      <w:pPr>
        <w:spacing w:line="500" w:lineRule="exact"/>
        <w:ind w:firstLine="560"/>
      </w:pPr>
      <w:r>
        <w:rPr>
          <w:rFonts w:eastAsia="方正仿宋_GBK"/>
          <w:color w:val="000000"/>
          <w:sz w:val="28"/>
        </w:rPr>
        <w:t>（二）分项绩效目标</w:t>
      </w:r>
    </w:p>
    <w:p>
      <w:pPr>
        <w:pStyle w:val="22"/>
      </w:pPr>
      <w:r>
        <w:t>1、全面依法治县水平进一步提升</w:t>
      </w:r>
    </w:p>
    <w:p>
      <w:pPr>
        <w:pStyle w:val="22"/>
      </w:pPr>
      <w:r>
        <w:t>绩效目标：督促完成县委全面依法治县委员会年度工作要点中明确的重点任务，全面依法治县水平进一步提升。</w:t>
      </w:r>
    </w:p>
    <w:p>
      <w:pPr>
        <w:pStyle w:val="22"/>
      </w:pPr>
      <w:r>
        <w:t>绩效指标：通过法治政府示范创建活动，促进法治政府建设水平进一步提升；全面依法治县水平得到提升。</w:t>
      </w:r>
    </w:p>
    <w:p>
      <w:pPr>
        <w:pStyle w:val="22"/>
      </w:pPr>
      <w:r>
        <w:t>2、政府法制社会建设深入推进,法治宣传教育工作、全县依法治理和法治创建工作进一步加强</w:t>
      </w:r>
    </w:p>
    <w:p>
      <w:pPr>
        <w:pStyle w:val="22"/>
      </w:pPr>
      <w:r>
        <w:t>绩效目标：拟订全县法治宣传教育规划，组织实施普法宣传工作；负责全县依法治理和法治创建工作，推动全县人民参与和促进法治建设，不断提高规范性文件质量，优化发展环境；加强规范性文件管理，保障政令畅通，维护法治发展，深入推进法治政府建设。</w:t>
      </w:r>
    </w:p>
    <w:p>
      <w:pPr>
        <w:pStyle w:val="22"/>
      </w:pPr>
      <w:r>
        <w:t>绩效指标：聘请政府法律顾问配合审核政府文件占政府总文件的95%以上，重大执法决定法制审核占总重大执法决定的100%，政府诉讼胜诉率90%以上，从而满足政府法律顾问日常需求，推进法治政府建设。</w:t>
      </w:r>
    </w:p>
    <w:p>
      <w:pPr>
        <w:pStyle w:val="22"/>
      </w:pPr>
      <w:r>
        <w:t>3、政府法制研究进一步深入</w:t>
      </w:r>
    </w:p>
    <w:p>
      <w:pPr>
        <w:pStyle w:val="22"/>
      </w:pPr>
      <w:r>
        <w:t>绩效目标：在审核文件中对存在问题开展法制研究，提出完善制度建议，保证制度建设质量。</w:t>
      </w:r>
    </w:p>
    <w:p>
      <w:pPr>
        <w:pStyle w:val="22"/>
      </w:pPr>
      <w:r>
        <w:t>绩效指标：审核文件意见采纳率90%以上。</w:t>
      </w:r>
    </w:p>
    <w:p>
      <w:pPr>
        <w:pStyle w:val="22"/>
      </w:pPr>
      <w:r>
        <w:t>4、普法依法治理水平进一步提高</w:t>
      </w:r>
    </w:p>
    <w:p>
      <w:pPr>
        <w:pStyle w:val="22"/>
      </w:pPr>
      <w:r>
        <w:t>绩效目标：提升县直部门“谁执法、谁普法”的意识，提升领导干部、青少年、农民等普法重点对象的宪法法律意识，提高县直部门、各乡普法骨干及乡村“法律明白人”的业务水平，提高“民主法治示范村”建设水平，促进全县民主与法治建设。</w:t>
      </w:r>
    </w:p>
    <w:p>
      <w:pPr>
        <w:pStyle w:val="22"/>
      </w:pPr>
      <w:r>
        <w:t>绩效指标：对全县各部门实施“八五”规划情况进行检查，检查工作于11月底前完成；监督指导全县各部门认真落实“谁执法谁普法”普法责任制，按上级文件要求组织开展全县范围内的法治宣传活动；推选新的民主法治示范村（社区）；组织普法骨干培训；社会公众宪法法律意识、法治观念进一步提升。</w:t>
      </w:r>
    </w:p>
    <w:p>
      <w:pPr>
        <w:pStyle w:val="22"/>
      </w:pPr>
      <w:r>
        <w:t>5、司法行政管理能力进一步提升,基层司法业务稳步发展</w:t>
      </w:r>
    </w:p>
    <w:p>
      <w:pPr>
        <w:pStyle w:val="22"/>
      </w:pPr>
      <w:r>
        <w:t>绩效目标：深化公共法律服务、人民调解员、人民监督员和人民陪审员等工作，促进工作稳步发展。</w:t>
      </w:r>
    </w:p>
    <w:p>
      <w:pPr>
        <w:pStyle w:val="22"/>
      </w:pPr>
      <w:r>
        <w:t>绩效指标：全县人民调解案件中实际各乡镇摸排出的线索和实际解决案件的比率达到95%以上；通过人民调解等工作，化解社会矛盾，促进社会和谐稳定。</w:t>
      </w:r>
    </w:p>
    <w:p>
      <w:pPr>
        <w:pStyle w:val="22"/>
      </w:pPr>
      <w:r>
        <w:t>6、法律援助办案质量进一步提升</w:t>
      </w:r>
    </w:p>
    <w:p>
      <w:pPr>
        <w:pStyle w:val="22"/>
      </w:pPr>
      <w:r>
        <w:t>绩效目标：进一步完善法律援助工作制度，提高法律援助办案质量，推动全县法律援助工作健康发展。</w:t>
      </w:r>
    </w:p>
    <w:p>
      <w:pPr>
        <w:pStyle w:val="22"/>
      </w:pPr>
      <w:r>
        <w:t>绩效指标：实际申请法律援助和受理法律援助案件的比率达95%以上；印刷宣传资料或制作法律援助宣传品；办案成本补贴标准控制在《河北省法律援助经费使用管理办法》规定的范围内；社会和谐稳定得到提升；受援群众满意率达95%以上。</w:t>
      </w:r>
    </w:p>
    <w:p>
      <w:pPr>
        <w:pStyle w:val="22"/>
      </w:pPr>
      <w:r>
        <w:t>7、社区矫正工作进一步完善</w:t>
      </w:r>
    </w:p>
    <w:p>
      <w:pPr>
        <w:pStyle w:val="22"/>
      </w:pPr>
      <w:r>
        <w:t>绩效目标：推进社区矫正工作和安置帮教工作改革完善，落实各项社区矫正和安置帮教政策；加强社区矫正监督管理、教育矫正工作，提高社区矫正质量；深化社区矫正工作，最大限度降低重新犯罪，保持社会稳定。</w:t>
      </w:r>
    </w:p>
    <w:p>
      <w:pPr>
        <w:pStyle w:val="22"/>
      </w:pPr>
      <w:r>
        <w:t>绩效指标：实际接收社区矫正人员进行审前社会调查比率达95%以上；实际监管的社区矫正人员与实际接收人员比率达100%；群众对社区矫正工作的认知度达95%以上。</w:t>
      </w:r>
    </w:p>
    <w:p>
      <w:pPr>
        <w:pStyle w:val="22"/>
      </w:pPr>
      <w:r>
        <w:t>8、司法政务管理水平进一步提高,信息化保障水平进一步提高</w:t>
      </w:r>
    </w:p>
    <w:p>
      <w:pPr>
        <w:pStyle w:val="22"/>
      </w:pPr>
      <w:r>
        <w:t>绩效目标：维护和完善各类信息化设备和业务信息系统，保障其正常运行。</w:t>
      </w:r>
    </w:p>
    <w:p>
      <w:pPr>
        <w:pStyle w:val="22"/>
      </w:pPr>
      <w:r>
        <w:t>绩效指标：局机关信息化办公设备保障率90%以上。</w:t>
      </w:r>
    </w:p>
    <w:p>
      <w:pPr>
        <w:pStyle w:val="22"/>
      </w:pPr>
      <w:r>
        <w:t>9、综合业务管理水平持续提升</w:t>
      </w:r>
    </w:p>
    <w:p>
      <w:pPr>
        <w:pStyle w:val="22"/>
      </w:pPr>
      <w:r>
        <w:t>绩效目标：加强系统物资装备管理、纪律检查、审计监督、公文流转、后勤保障等，促进司法行政事业健康发展。</w:t>
      </w:r>
    </w:p>
    <w:p>
      <w:pPr>
        <w:pStyle w:val="22"/>
      </w:pPr>
      <w:r>
        <w:t>绩效指标：综合业务工作完成率100%。</w:t>
      </w:r>
    </w:p>
    <w:p>
      <w:pPr>
        <w:spacing w:line="500" w:lineRule="exact"/>
        <w:ind w:firstLine="560"/>
      </w:pPr>
      <w:r>
        <w:rPr>
          <w:rFonts w:eastAsia="方正仿宋_GBK"/>
          <w:color w:val="000000"/>
          <w:sz w:val="28"/>
        </w:rPr>
        <w:t>（三）工作保障措施</w:t>
      </w:r>
    </w:p>
    <w:p>
      <w:pPr>
        <w:pStyle w:val="23"/>
      </w:pPr>
      <w:r>
        <w:rPr>
          <w:rFonts w:hint="eastAsia"/>
          <w:lang w:eastAsia="zh-CN"/>
        </w:rPr>
        <w:t>1</w:t>
      </w:r>
      <w:r>
        <w:t>、加强组织领导。全面贯彻落实《中共灵寿县委灵寿县人民政府关于全面落实预算绩效管理的实施意见》（灵发〔2019〕9号）和灵寿县财政局关于印发《全面推进预算绩效管理工作实施方案》的通知等文件要求，加强组织领导，成立预算绩效管理领导小组，建立统筹协调、分工协作、密切配合、合力推进的工作机制，建立健全制度体系，确保全年预算绩效目标的有效实现。</w:t>
      </w:r>
    </w:p>
    <w:p>
      <w:pPr>
        <w:pStyle w:val="23"/>
      </w:pPr>
      <w:r>
        <w:rPr>
          <w:rFonts w:hint="eastAsia"/>
          <w:lang w:eastAsia="zh-CN"/>
        </w:rPr>
        <w:t>2</w:t>
      </w:r>
      <w:r>
        <w:t>、完善制度建设。结合我部门职责和工作特点，全面梳理完善各类制度。从事前评估、目标管理、运行监控、绩效评价、结果应用等各个环节入手，建立完善预算绩效管理制度。从单位和业务两个层面,梳理和完善内部控制制度，确保财政资金安全有效。</w:t>
      </w:r>
    </w:p>
    <w:p>
      <w:pPr>
        <w:pStyle w:val="23"/>
      </w:pPr>
      <w:r>
        <w:rPr>
          <w:rFonts w:hint="eastAsia"/>
          <w:lang w:eastAsia="zh-CN"/>
        </w:rPr>
        <w:t>3</w:t>
      </w:r>
      <w:r>
        <w:t>、狠抓责任落实。牢固树立“花钱必问效，无效必问责”的观念，按照“谁花钱、谁负责”的原则，明确各所属事业单位和各业务部门的预算绩效管理主体责任，在绩效预算管理领导小组的领导下，严格落实制度，切实夯实责任，确保绩效预算管理责任的有效落实。</w:t>
      </w:r>
    </w:p>
    <w:p>
      <w:pPr>
        <w:pStyle w:val="23"/>
      </w:pPr>
      <w:r>
        <w:rPr>
          <w:rFonts w:hint="eastAsia"/>
          <w:lang w:eastAsia="zh-CN"/>
        </w:rPr>
        <w:t>4</w:t>
      </w:r>
      <w:r>
        <w:t>、加强预算管理。在预算编制上，牢固树立绩效管理理念，科学设定绩效目标，将绩效目标设置作为预算安排的前置条件。在预算执行上，一是强化预算的刚性约束，杜绝无预算、超预算支出；二是加快预算执行进度，减少资金沉淀，尽快发挥财政资金使用效益；三是加强运行监控，发现问题及时采取措施，确保绩效目标如期保质实现。</w:t>
      </w:r>
    </w:p>
    <w:p>
      <w:pPr>
        <w:pStyle w:val="23"/>
      </w:pPr>
      <w:r>
        <w:rPr>
          <w:rFonts w:hint="eastAsia"/>
          <w:lang w:eastAsia="zh-CN"/>
        </w:rPr>
        <w:t>5</w:t>
      </w:r>
      <w:r>
        <w:t>、健全评价机制。年度终了，对项目资金支出的经济性、效率性以及绩效目标的实现程度进行全方位自评，对评价中发现的问题及时整改，调整优化支出结构，提高财政资金使用效益。对重大政策性支出要实行全周期跟踪问效，建立动态评价和调整完善机制，及时发现问题、解决问题，提高财政资金的使用效益。</w:t>
      </w:r>
    </w:p>
    <w:p>
      <w:pPr>
        <w:pStyle w:val="23"/>
      </w:pPr>
      <w:r>
        <w:rPr>
          <w:rFonts w:hint="eastAsia"/>
          <w:lang w:eastAsia="zh-CN"/>
        </w:rPr>
        <w:t>6</w:t>
      </w:r>
      <w:r>
        <w:t>、强化宣传引导。积极参加预算绩效管理业务培训，提高相关人员业务素质和工作能力。利用单位对外公示等平台，积极宣传预算绩效管理的要求、成效和经验，为我县司法行政系统全面实施预算绩效管理营造良好的舆论氛围。</w:t>
      </w:r>
    </w:p>
    <w:p>
      <w:pPr>
        <w:pStyle w:val="23"/>
      </w:pPr>
    </w:p>
    <w:p>
      <w:pPr>
        <w:ind w:firstLine="640"/>
        <w:rPr>
          <w:rFonts w:ascii="方正楷体_GBK" w:eastAsia="方正楷体_GBK" w:cs="方正楷体_GBK"/>
          <w:b/>
          <w:color w:val="000000"/>
          <w:sz w:val="32"/>
        </w:rPr>
      </w:pPr>
      <w:r>
        <w:rPr>
          <w:rFonts w:ascii="方正楷体_GBK" w:eastAsia="方正楷体_GBK" w:cs="方正楷体_GBK"/>
          <w:b/>
          <w:color w:val="000000"/>
          <w:sz w:val="32"/>
        </w:rPr>
        <w:t>第二部分  专项资金绩效目标</w:t>
      </w:r>
    </w:p>
    <w:p>
      <w:pPr>
        <w:ind w:firstLine="640" w:firstLineChars="200"/>
        <w:rPr>
          <w:sz w:val="32"/>
        </w:rPr>
      </w:pPr>
      <w:r>
        <w:rPr>
          <w:rFonts w:hint="eastAsia" w:ascii="方正楷体_GBK" w:hAnsi="方正楷体_GBK"/>
          <w:sz w:val="32"/>
        </w:rPr>
        <w:t>202</w:t>
      </w:r>
      <w:r>
        <w:rPr>
          <w:rFonts w:hint="eastAsia" w:ascii="方正楷体_GBK" w:hAnsi="方正楷体_GBK" w:eastAsia="宋体"/>
          <w:sz w:val="32"/>
          <w:lang w:eastAsia="zh-CN"/>
        </w:rPr>
        <w:t>2</w:t>
      </w:r>
      <w:r>
        <w:rPr>
          <w:rFonts w:hint="eastAsia" w:ascii="方正楷体_GBK" w:hAnsi="方正楷体_GBK"/>
          <w:sz w:val="32"/>
        </w:rPr>
        <w:t>年度无专项资金。</w:t>
      </w:r>
    </w:p>
    <w:p>
      <w:pPr>
        <w:ind w:firstLine="640"/>
        <w:rPr>
          <w:rFonts w:ascii="方正楷体_GBK" w:eastAsia="方正楷体_GBK" w:cs="方正楷体_GBK"/>
          <w:b/>
          <w:color w:val="000000"/>
          <w:sz w:val="32"/>
        </w:rPr>
      </w:pPr>
    </w:p>
    <w:p>
      <w:pPr>
        <w:pStyle w:val="24"/>
        <w:numPr>
          <w:ilvl w:val="0"/>
          <w:numId w:val="1"/>
        </w:numPr>
        <w:ind w:left="0" w:firstLine="640"/>
        <w:rPr>
          <w:rFonts w:ascii="方正楷体_GBK" w:eastAsia="方正楷体_GBK" w:cs="方正楷体_GBK"/>
          <w:b/>
          <w:color w:val="000000"/>
          <w:sz w:val="32"/>
        </w:rPr>
      </w:pPr>
      <w:r>
        <w:rPr>
          <w:rFonts w:ascii="方正楷体_GBK" w:eastAsia="方正楷体_GBK" w:cs="方正楷体_GBK"/>
          <w:b/>
          <w:color w:val="000000"/>
          <w:sz w:val="32"/>
        </w:rPr>
        <w:t xml:space="preserve"> 预算项目绩效目标</w:t>
      </w:r>
    </w:p>
    <w:p>
      <w:pPr>
        <w:pStyle w:val="24"/>
        <w:rPr>
          <w:rFonts w:ascii="方正楷体_GBK" w:eastAsia="方正楷体_GBK" w:cs="方正楷体_GBK"/>
          <w:b/>
          <w:color w:val="000000"/>
          <w:sz w:val="32"/>
        </w:rPr>
      </w:pPr>
    </w:p>
    <w:p>
      <w:pPr>
        <w:pStyle w:val="24"/>
        <w:rPr>
          <w:rFonts w:ascii="方正楷体_GBK" w:eastAsia="方正楷体_GBK" w:cs="方正楷体_GBK"/>
          <w:b/>
          <w:color w:val="000000"/>
          <w:sz w:val="32"/>
        </w:rPr>
      </w:pPr>
    </w:p>
    <w:p>
      <w:pPr>
        <w:pStyle w:val="24"/>
        <w:rPr>
          <w:rFonts w:ascii="方正楷体_GBK" w:eastAsia="方正楷体_GBK" w:cs="方正楷体_GBK"/>
          <w:b/>
          <w:color w:val="000000"/>
          <w:sz w:val="32"/>
        </w:rPr>
      </w:pPr>
    </w:p>
    <w:p>
      <w:pPr>
        <w:pStyle w:val="24"/>
        <w:ind w:firstLine="560"/>
      </w:pPr>
      <w:r>
        <w:rPr>
          <w:rFonts w:ascii="方正仿宋_GBK" w:eastAsia="方正仿宋_GBK" w:cs="方正仿宋_GBK"/>
          <w:b/>
          <w:color w:val="000000"/>
          <w:sz w:val="28"/>
        </w:rPr>
        <w:t>1、法律顾问工作经费绩效目标表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1.通过聘用法律顾问完成12项法律服务，审查政府文件20件，完成不少于20件行政复议应诉案件。</w:t>
            </w:r>
          </w:p>
          <w:p>
            <w:pPr>
              <w:pStyle w:val="26"/>
            </w:pPr>
            <w:r>
              <w:t>2.建设法治政府，提高了政府执法行政水平，加强执政能力、自身建设，实现政府职能转变，提高了领导干部的行政管理水平和依法行政决策能力。对构建和谐社会、建设亲民行政、倡导行政为民具有重要作用。</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合法性审查文件数</w:t>
            </w:r>
          </w:p>
        </w:tc>
        <w:tc>
          <w:tcPr>
            <w:tcW w:w="2835" w:type="dxa"/>
            <w:vAlign w:val="center"/>
          </w:tcPr>
          <w:p>
            <w:pPr>
              <w:pStyle w:val="26"/>
            </w:pPr>
            <w:r>
              <w:t>对政府文件进行审核确定合法性</w:t>
            </w:r>
          </w:p>
        </w:tc>
        <w:tc>
          <w:tcPr>
            <w:tcW w:w="2551" w:type="dxa"/>
            <w:vAlign w:val="center"/>
          </w:tcPr>
          <w:p>
            <w:pPr>
              <w:pStyle w:val="26"/>
            </w:pPr>
            <w:r>
              <w:t>≥20件</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工作完成率</w:t>
            </w:r>
          </w:p>
        </w:tc>
        <w:tc>
          <w:tcPr>
            <w:tcW w:w="2835" w:type="dxa"/>
            <w:vAlign w:val="center"/>
          </w:tcPr>
          <w:p>
            <w:pPr>
              <w:pStyle w:val="26"/>
            </w:pPr>
            <w:r>
              <w:t>法律顾问工作的完成情况</w:t>
            </w:r>
          </w:p>
        </w:tc>
        <w:tc>
          <w:tcPr>
            <w:tcW w:w="2551" w:type="dxa"/>
            <w:vAlign w:val="center"/>
          </w:tcPr>
          <w:p>
            <w:pPr>
              <w:pStyle w:val="26"/>
            </w:pPr>
            <w:r>
              <w:t>≥95%</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工作及时完成时限</w:t>
            </w:r>
          </w:p>
        </w:tc>
        <w:tc>
          <w:tcPr>
            <w:tcW w:w="2835" w:type="dxa"/>
            <w:vAlign w:val="center"/>
          </w:tcPr>
          <w:p>
            <w:pPr>
              <w:pStyle w:val="26"/>
            </w:pPr>
            <w:r>
              <w:t>行政应诉复议案件接手时限</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行政复议应诉案件成本</w:t>
            </w:r>
          </w:p>
        </w:tc>
        <w:tc>
          <w:tcPr>
            <w:tcW w:w="2835" w:type="dxa"/>
            <w:vAlign w:val="center"/>
          </w:tcPr>
          <w:p>
            <w:pPr>
              <w:pStyle w:val="26"/>
            </w:pPr>
            <w:r>
              <w:t>超过20件行政复议应诉案件成本</w:t>
            </w:r>
          </w:p>
        </w:tc>
        <w:tc>
          <w:tcPr>
            <w:tcW w:w="2551" w:type="dxa"/>
            <w:vAlign w:val="center"/>
          </w:tcPr>
          <w:p>
            <w:pPr>
              <w:pStyle w:val="26"/>
            </w:pPr>
            <w:r>
              <w:t>≤5000元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提高政府依法行政水平</w:t>
            </w:r>
          </w:p>
        </w:tc>
        <w:tc>
          <w:tcPr>
            <w:tcW w:w="2835" w:type="dxa"/>
            <w:vAlign w:val="center"/>
          </w:tcPr>
          <w:p>
            <w:pPr>
              <w:pStyle w:val="26"/>
            </w:pPr>
            <w:r>
              <w:t>通过聘请法律顾问提高政府依法行政水平，加强执政能力</w:t>
            </w:r>
          </w:p>
        </w:tc>
        <w:tc>
          <w:tcPr>
            <w:tcW w:w="2551" w:type="dxa"/>
            <w:vAlign w:val="center"/>
          </w:tcPr>
          <w:p>
            <w:pPr>
              <w:pStyle w:val="26"/>
            </w:pPr>
            <w:r>
              <w:t>有效提高</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社会效益指标</w:t>
            </w:r>
          </w:p>
        </w:tc>
        <w:tc>
          <w:tcPr>
            <w:tcW w:w="2835" w:type="dxa"/>
            <w:vAlign w:val="center"/>
          </w:tcPr>
          <w:p>
            <w:pPr>
              <w:pStyle w:val="26"/>
            </w:pPr>
            <w:r>
              <w:t>意见建议采纳率</w:t>
            </w:r>
          </w:p>
        </w:tc>
        <w:tc>
          <w:tcPr>
            <w:tcW w:w="2835" w:type="dxa"/>
            <w:vAlign w:val="center"/>
          </w:tcPr>
          <w:p>
            <w:pPr>
              <w:pStyle w:val="26"/>
            </w:pPr>
            <w:r>
              <w:t>被采纳的意见建议数量占总数量的比率</w:t>
            </w:r>
          </w:p>
        </w:tc>
        <w:tc>
          <w:tcPr>
            <w:tcW w:w="2551" w:type="dxa"/>
            <w:vAlign w:val="center"/>
          </w:tcPr>
          <w:p>
            <w:pPr>
              <w:pStyle w:val="26"/>
            </w:pPr>
            <w:r>
              <w:t>≥98%</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被调查人员的满意度情况</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2、人民调解工作经费绩效目标表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1.完成调解案件200件以上，实际解决人民调解案件达95%以上，疑难纠纷调解中心7人每月误工补贴1480元，化解矛盾和上访的根源事件，健全专业性、行业性调解组织配合县综治办、法院等部门开展职能活动.</w:t>
            </w:r>
            <w:r>
              <w:tab/>
            </w:r>
            <w:r>
              <w:tab/>
            </w:r>
            <w:r>
              <w:tab/>
            </w:r>
            <w:r>
              <w:tab/>
            </w:r>
            <w:r>
              <w:tab/>
            </w:r>
            <w:r>
              <w:tab/>
            </w:r>
          </w:p>
          <w:p>
            <w:pPr>
              <w:pStyle w:val="26"/>
            </w:pPr>
            <w:r>
              <w:tab/>
            </w:r>
            <w:r>
              <w:tab/>
            </w:r>
            <w:r>
              <w:tab/>
            </w:r>
            <w:r>
              <w:tab/>
            </w:r>
            <w:r>
              <w:tab/>
            </w:r>
            <w:r>
              <w:tab/>
            </w:r>
          </w:p>
          <w:p>
            <w:pPr>
              <w:pStyle w:val="26"/>
            </w:pPr>
          </w:p>
          <w:p>
            <w:pPr>
              <w:pStyle w:val="26"/>
            </w:pPr>
            <w:r>
              <w:t>2.通过解决调解案件减少矛盾纠纷的进一步扩大省级，维护县域稳定。</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调解案件数</w:t>
            </w:r>
          </w:p>
        </w:tc>
        <w:tc>
          <w:tcPr>
            <w:tcW w:w="2835" w:type="dxa"/>
            <w:vAlign w:val="center"/>
          </w:tcPr>
          <w:p>
            <w:pPr>
              <w:pStyle w:val="26"/>
            </w:pPr>
            <w:r>
              <w:t>本年度调解案件总数</w:t>
            </w:r>
          </w:p>
        </w:tc>
        <w:tc>
          <w:tcPr>
            <w:tcW w:w="2551" w:type="dxa"/>
            <w:vAlign w:val="center"/>
          </w:tcPr>
          <w:p>
            <w:pPr>
              <w:pStyle w:val="26"/>
            </w:pPr>
            <w:r>
              <w:t>≥200件</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开展人民调解率</w:t>
            </w:r>
          </w:p>
        </w:tc>
        <w:tc>
          <w:tcPr>
            <w:tcW w:w="2835" w:type="dxa"/>
            <w:vAlign w:val="center"/>
          </w:tcPr>
          <w:p>
            <w:pPr>
              <w:pStyle w:val="26"/>
            </w:pPr>
            <w:r>
              <w:t>实际各乡镇摸排出的线索和实际解决案件的比率</w:t>
            </w:r>
          </w:p>
        </w:tc>
        <w:tc>
          <w:tcPr>
            <w:tcW w:w="2551" w:type="dxa"/>
            <w:vAlign w:val="center"/>
          </w:tcPr>
          <w:p>
            <w:pPr>
              <w:pStyle w:val="26"/>
            </w:pPr>
            <w:r>
              <w:t>≥95%</w:t>
            </w:r>
          </w:p>
        </w:tc>
        <w:tc>
          <w:tcPr>
            <w:tcW w:w="2268" w:type="dxa"/>
            <w:vAlign w:val="center"/>
          </w:tcPr>
          <w:p>
            <w:pPr>
              <w:pStyle w:val="26"/>
            </w:pPr>
            <w:r>
              <w:t>《关于进一步加强人民调解经费保障意见》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指派调解员时限</w:t>
            </w:r>
          </w:p>
        </w:tc>
        <w:tc>
          <w:tcPr>
            <w:tcW w:w="2835" w:type="dxa"/>
            <w:vAlign w:val="center"/>
          </w:tcPr>
          <w:p>
            <w:pPr>
              <w:pStyle w:val="26"/>
            </w:pPr>
            <w:r>
              <w:t>摸排出的矛盾纠纷案件及时指派调解员跟进解决时间</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误工补贴标准</w:t>
            </w:r>
          </w:p>
        </w:tc>
        <w:tc>
          <w:tcPr>
            <w:tcW w:w="2835" w:type="dxa"/>
            <w:vAlign w:val="center"/>
          </w:tcPr>
          <w:p>
            <w:pPr>
              <w:pStyle w:val="26"/>
            </w:pPr>
            <w:r>
              <w:t>疑难纠纷调解中心人员每人每月误工补贴</w:t>
            </w:r>
          </w:p>
        </w:tc>
        <w:tc>
          <w:tcPr>
            <w:tcW w:w="2551" w:type="dxa"/>
            <w:vAlign w:val="center"/>
          </w:tcPr>
          <w:p>
            <w:pPr>
              <w:pStyle w:val="26"/>
            </w:pPr>
            <w:r>
              <w:t>1480元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减少矛盾纠纷升级</w:t>
            </w:r>
          </w:p>
        </w:tc>
        <w:tc>
          <w:tcPr>
            <w:tcW w:w="2835" w:type="dxa"/>
            <w:vAlign w:val="center"/>
          </w:tcPr>
          <w:p>
            <w:pPr>
              <w:pStyle w:val="26"/>
            </w:pPr>
            <w:r>
              <w:t>通过解决调解案件减少矛盾纠纷的进一步扩大升级</w:t>
            </w:r>
          </w:p>
        </w:tc>
        <w:tc>
          <w:tcPr>
            <w:tcW w:w="2551" w:type="dxa"/>
            <w:vAlign w:val="center"/>
          </w:tcPr>
          <w:p>
            <w:pPr>
              <w:pStyle w:val="26"/>
            </w:pPr>
            <w:r>
              <w:t>有效减少</w:t>
            </w:r>
          </w:p>
        </w:tc>
        <w:tc>
          <w:tcPr>
            <w:tcW w:w="2268" w:type="dxa"/>
            <w:vAlign w:val="center"/>
          </w:tcPr>
          <w:p>
            <w:pPr>
              <w:pStyle w:val="2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可持续影响指标</w:t>
            </w:r>
          </w:p>
        </w:tc>
        <w:tc>
          <w:tcPr>
            <w:tcW w:w="2835" w:type="dxa"/>
            <w:vAlign w:val="center"/>
          </w:tcPr>
          <w:p>
            <w:pPr>
              <w:pStyle w:val="26"/>
            </w:pPr>
            <w:r>
              <w:t>维护社会稳定</w:t>
            </w:r>
          </w:p>
        </w:tc>
        <w:tc>
          <w:tcPr>
            <w:tcW w:w="2835" w:type="dxa"/>
            <w:vAlign w:val="center"/>
          </w:tcPr>
          <w:p>
            <w:pPr>
              <w:pStyle w:val="26"/>
            </w:pPr>
            <w:r>
              <w:t>通过解决调解案件维护县域稳定</w:t>
            </w:r>
          </w:p>
        </w:tc>
        <w:tc>
          <w:tcPr>
            <w:tcW w:w="2551" w:type="dxa"/>
            <w:vAlign w:val="center"/>
          </w:tcPr>
          <w:p>
            <w:pPr>
              <w:pStyle w:val="26"/>
            </w:pPr>
            <w:r>
              <w:t>有效维护</w:t>
            </w:r>
          </w:p>
        </w:tc>
        <w:tc>
          <w:tcPr>
            <w:tcW w:w="2268" w:type="dxa"/>
            <w:vAlign w:val="center"/>
          </w:tcPr>
          <w:p>
            <w:pPr>
              <w:pStyle w:val="2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调查中满意和较满意的人数占调查总人数的比率</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3、社区矫正工作经费绩效目标表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1.实际接收管理社区矫正人员160人以上，矫正人员实际监管率达100%，7日内完成本市内委托的社区矫正人员审前调查反馈结果，强化我局社区矫正业务工作，履行“第一责任”，配合县委县政府中心工作。</w:t>
            </w:r>
          </w:p>
          <w:p>
            <w:pPr>
              <w:pStyle w:val="26"/>
            </w:pPr>
            <w:r>
              <w:t>2.维护县域安全稳定，抓好社区矫正对象衔接，严格规范日常社区矫正。</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社区矫正人数</w:t>
            </w:r>
          </w:p>
        </w:tc>
        <w:tc>
          <w:tcPr>
            <w:tcW w:w="2835" w:type="dxa"/>
            <w:vAlign w:val="center"/>
          </w:tcPr>
          <w:p>
            <w:pPr>
              <w:pStyle w:val="26"/>
            </w:pPr>
            <w:r>
              <w:t>本年度实际接收管理社区矫正对象数</w:t>
            </w:r>
          </w:p>
        </w:tc>
        <w:tc>
          <w:tcPr>
            <w:tcW w:w="2551" w:type="dxa"/>
            <w:vAlign w:val="center"/>
          </w:tcPr>
          <w:p>
            <w:pPr>
              <w:pStyle w:val="26"/>
            </w:pPr>
            <w:r>
              <w:t>≥160人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社区矫正人员实际监管率</w:t>
            </w:r>
          </w:p>
        </w:tc>
        <w:tc>
          <w:tcPr>
            <w:tcW w:w="2835" w:type="dxa"/>
            <w:vAlign w:val="center"/>
          </w:tcPr>
          <w:p>
            <w:pPr>
              <w:pStyle w:val="26"/>
            </w:pPr>
            <w:r>
              <w:t>实际监管的社区矫正人员与实际接收人员比率</w:t>
            </w:r>
          </w:p>
        </w:tc>
        <w:tc>
          <w:tcPr>
            <w:tcW w:w="2551" w:type="dxa"/>
            <w:vAlign w:val="center"/>
          </w:tcPr>
          <w:p>
            <w:pPr>
              <w:pStyle w:val="26"/>
            </w:pPr>
            <w:r>
              <w:t>≥100%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审前调查完成时效</w:t>
            </w:r>
          </w:p>
        </w:tc>
        <w:tc>
          <w:tcPr>
            <w:tcW w:w="2835" w:type="dxa"/>
            <w:vAlign w:val="center"/>
          </w:tcPr>
          <w:p>
            <w:pPr>
              <w:pStyle w:val="26"/>
            </w:pPr>
            <w:r>
              <w:t>本市内社区矫正人员审前调查完成天数</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社区矫正人员人均费用</w:t>
            </w:r>
          </w:p>
        </w:tc>
        <w:tc>
          <w:tcPr>
            <w:tcW w:w="2835" w:type="dxa"/>
            <w:vAlign w:val="center"/>
          </w:tcPr>
          <w:p>
            <w:pPr>
              <w:pStyle w:val="26"/>
            </w:pPr>
            <w:r>
              <w:t>日常管理社区矫正人员人均费用</w:t>
            </w:r>
          </w:p>
        </w:tc>
        <w:tc>
          <w:tcPr>
            <w:tcW w:w="2551" w:type="dxa"/>
            <w:vAlign w:val="center"/>
          </w:tcPr>
          <w:p>
            <w:pPr>
              <w:pStyle w:val="26"/>
            </w:pPr>
            <w:r>
              <w:t>≤31.25元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社区矫正正常解矫率</w:t>
            </w:r>
          </w:p>
        </w:tc>
        <w:tc>
          <w:tcPr>
            <w:tcW w:w="2835" w:type="dxa"/>
            <w:vAlign w:val="center"/>
          </w:tcPr>
          <w:p>
            <w:pPr>
              <w:pStyle w:val="26"/>
            </w:pPr>
            <w:r>
              <w:t>接收进入社区矫正人员和平稳解除社区矫正人员的比率</w:t>
            </w:r>
          </w:p>
        </w:tc>
        <w:tc>
          <w:tcPr>
            <w:tcW w:w="2551" w:type="dxa"/>
            <w:vAlign w:val="center"/>
          </w:tcPr>
          <w:p>
            <w:pPr>
              <w:pStyle w:val="26"/>
            </w:pPr>
            <w:r>
              <w:t>≥95%</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社会效益指标</w:t>
            </w:r>
          </w:p>
        </w:tc>
        <w:tc>
          <w:tcPr>
            <w:tcW w:w="2835" w:type="dxa"/>
            <w:vAlign w:val="center"/>
          </w:tcPr>
          <w:p>
            <w:pPr>
              <w:pStyle w:val="26"/>
            </w:pPr>
            <w:r>
              <w:t>社区矫正人员再犯罪率</w:t>
            </w:r>
          </w:p>
        </w:tc>
        <w:tc>
          <w:tcPr>
            <w:tcW w:w="2835" w:type="dxa"/>
            <w:vAlign w:val="center"/>
          </w:tcPr>
          <w:p>
            <w:pPr>
              <w:pStyle w:val="26"/>
            </w:pPr>
            <w:r>
              <w:t>实际监管的社区矫正人员与再犯罪社区矫正人员的比率</w:t>
            </w:r>
          </w:p>
        </w:tc>
        <w:tc>
          <w:tcPr>
            <w:tcW w:w="2551" w:type="dxa"/>
            <w:vAlign w:val="center"/>
          </w:tcPr>
          <w:p>
            <w:pPr>
              <w:pStyle w:val="26"/>
            </w:pPr>
            <w:r>
              <w:t>≤2‰</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受益群体满意度</w:t>
            </w:r>
          </w:p>
        </w:tc>
        <w:tc>
          <w:tcPr>
            <w:tcW w:w="2835" w:type="dxa"/>
            <w:vAlign w:val="center"/>
          </w:tcPr>
          <w:p>
            <w:pPr>
              <w:pStyle w:val="26"/>
            </w:pPr>
            <w:r>
              <w:t>受益群体对社区矫正工作的满意度</w:t>
            </w:r>
          </w:p>
        </w:tc>
        <w:tc>
          <w:tcPr>
            <w:tcW w:w="2551" w:type="dxa"/>
            <w:vAlign w:val="center"/>
          </w:tcPr>
          <w:p>
            <w:pPr>
              <w:pStyle w:val="26"/>
            </w:pPr>
            <w:r>
              <w:t>≥85%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4、2022年社区矫正补助资金绩效目标表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1.实际接收管理社区矫正人员160人以上，矫正人员实际监管率达100%，7日内完成本市内委托的社区矫正人员审前调查反馈结果，强化我局社区矫正业务工作，履行“第一责任”，配合县委县政府中心工作。</w:t>
            </w:r>
          </w:p>
          <w:p>
            <w:pPr>
              <w:pStyle w:val="26"/>
            </w:pPr>
            <w:r>
              <w:t>2.维护县域安全稳定，抓好社区矫正对象衔接，严格规范日常社区矫正。</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社区矫正人数</w:t>
            </w:r>
          </w:p>
        </w:tc>
        <w:tc>
          <w:tcPr>
            <w:tcW w:w="2835" w:type="dxa"/>
            <w:vAlign w:val="center"/>
          </w:tcPr>
          <w:p>
            <w:pPr>
              <w:pStyle w:val="26"/>
            </w:pPr>
            <w:r>
              <w:t>本年度实际接收管理社区矫正对象数</w:t>
            </w:r>
          </w:p>
        </w:tc>
        <w:tc>
          <w:tcPr>
            <w:tcW w:w="2551" w:type="dxa"/>
            <w:vAlign w:val="center"/>
          </w:tcPr>
          <w:p>
            <w:pPr>
              <w:pStyle w:val="26"/>
            </w:pPr>
            <w:r>
              <w:t>≥160人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社区矫正人员实际监管率</w:t>
            </w:r>
          </w:p>
        </w:tc>
        <w:tc>
          <w:tcPr>
            <w:tcW w:w="2835" w:type="dxa"/>
            <w:vAlign w:val="center"/>
          </w:tcPr>
          <w:p>
            <w:pPr>
              <w:pStyle w:val="26"/>
            </w:pPr>
            <w:r>
              <w:t>实际监管的社区矫正人员与实际接收人员比率</w:t>
            </w:r>
          </w:p>
        </w:tc>
        <w:tc>
          <w:tcPr>
            <w:tcW w:w="2551" w:type="dxa"/>
            <w:vAlign w:val="center"/>
          </w:tcPr>
          <w:p>
            <w:pPr>
              <w:pStyle w:val="26"/>
            </w:pPr>
            <w:r>
              <w:t>≥100%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审前调查完成时效</w:t>
            </w:r>
          </w:p>
        </w:tc>
        <w:tc>
          <w:tcPr>
            <w:tcW w:w="2835" w:type="dxa"/>
            <w:vAlign w:val="center"/>
          </w:tcPr>
          <w:p>
            <w:pPr>
              <w:pStyle w:val="26"/>
            </w:pPr>
            <w:r>
              <w:t>本市内社区矫正人员审前调查完成天数</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社区矫正人员人均费用</w:t>
            </w:r>
          </w:p>
        </w:tc>
        <w:tc>
          <w:tcPr>
            <w:tcW w:w="2835" w:type="dxa"/>
            <w:vAlign w:val="center"/>
          </w:tcPr>
          <w:p>
            <w:pPr>
              <w:pStyle w:val="26"/>
            </w:pPr>
            <w:r>
              <w:t>日常管理社区矫正人员人均费用</w:t>
            </w:r>
          </w:p>
        </w:tc>
        <w:tc>
          <w:tcPr>
            <w:tcW w:w="2551" w:type="dxa"/>
            <w:vAlign w:val="center"/>
          </w:tcPr>
          <w:p>
            <w:pPr>
              <w:pStyle w:val="26"/>
            </w:pPr>
            <w:r>
              <w:t>≤4162.5元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社区矫正正常解矫率</w:t>
            </w:r>
          </w:p>
        </w:tc>
        <w:tc>
          <w:tcPr>
            <w:tcW w:w="2835" w:type="dxa"/>
            <w:vAlign w:val="center"/>
          </w:tcPr>
          <w:p>
            <w:pPr>
              <w:pStyle w:val="26"/>
            </w:pPr>
            <w:r>
              <w:t>接收进入社区矫正人员和平稳解除社区矫正人员的比率</w:t>
            </w:r>
          </w:p>
        </w:tc>
        <w:tc>
          <w:tcPr>
            <w:tcW w:w="2551" w:type="dxa"/>
            <w:vAlign w:val="center"/>
          </w:tcPr>
          <w:p>
            <w:pPr>
              <w:pStyle w:val="26"/>
            </w:pPr>
            <w:r>
              <w:t>≥95%</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社会效益指标</w:t>
            </w:r>
          </w:p>
        </w:tc>
        <w:tc>
          <w:tcPr>
            <w:tcW w:w="2835" w:type="dxa"/>
            <w:vAlign w:val="center"/>
          </w:tcPr>
          <w:p>
            <w:pPr>
              <w:pStyle w:val="26"/>
            </w:pPr>
            <w:r>
              <w:t>社区矫正人员再犯罪率</w:t>
            </w:r>
          </w:p>
        </w:tc>
        <w:tc>
          <w:tcPr>
            <w:tcW w:w="2835" w:type="dxa"/>
            <w:vAlign w:val="center"/>
          </w:tcPr>
          <w:p>
            <w:pPr>
              <w:pStyle w:val="26"/>
            </w:pPr>
            <w:r>
              <w:t>实际监管的社区矫正人员与再犯罪社区矫正人员的比率</w:t>
            </w:r>
          </w:p>
        </w:tc>
        <w:tc>
          <w:tcPr>
            <w:tcW w:w="2551" w:type="dxa"/>
            <w:vAlign w:val="center"/>
          </w:tcPr>
          <w:p>
            <w:pPr>
              <w:pStyle w:val="26"/>
            </w:pPr>
            <w:r>
              <w:t>≤2‰</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受益群体满意度</w:t>
            </w:r>
          </w:p>
        </w:tc>
        <w:tc>
          <w:tcPr>
            <w:tcW w:w="2835" w:type="dxa"/>
            <w:vAlign w:val="center"/>
          </w:tcPr>
          <w:p>
            <w:pPr>
              <w:pStyle w:val="26"/>
            </w:pPr>
            <w:r>
              <w:t>受益群体对社区矫正工作的满意度</w:t>
            </w:r>
          </w:p>
        </w:tc>
        <w:tc>
          <w:tcPr>
            <w:tcW w:w="2551" w:type="dxa"/>
            <w:vAlign w:val="center"/>
          </w:tcPr>
          <w:p>
            <w:pPr>
              <w:pStyle w:val="26"/>
            </w:pPr>
            <w:r>
              <w:t>≥85%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5、2022年省级公检法司转移支付资金绩效目标表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1.涉密</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bl>
    <w:p>
      <w:pPr>
        <w:pStyle w:val="24"/>
      </w:pPr>
    </w:p>
    <w:p>
      <w:pPr>
        <w:pStyle w:val="24"/>
        <w:ind w:firstLine="560"/>
      </w:pPr>
      <w:r>
        <w:rPr>
          <w:rFonts w:ascii="方正仿宋_GBK" w:eastAsia="方正仿宋_GBK" w:cs="方正仿宋_GBK"/>
          <w:b/>
          <w:color w:val="000000"/>
          <w:sz w:val="28"/>
        </w:rPr>
        <w:t>6、2022年省级公检法司转移支付资金（法律援助）绩效目标表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1.涉密</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bl>
    <w:p>
      <w:pPr>
        <w:pStyle w:val="24"/>
      </w:pPr>
    </w:p>
    <w:p>
      <w:pPr>
        <w:pStyle w:val="24"/>
        <w:ind w:firstLine="560"/>
      </w:pPr>
      <w:r>
        <w:rPr>
          <w:rFonts w:ascii="方正仿宋_GBK" w:eastAsia="方正仿宋_GBK" w:cs="方正仿宋_GBK"/>
          <w:b/>
          <w:color w:val="000000"/>
          <w:sz w:val="28"/>
        </w:rPr>
        <w:t>7、2022年市级社区矫正专项经费绩效目标表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实际接收管理社区矫正人员160人以上，矫正人员实际监管率达100%，7日内完成本市内委托的社区矫正人员审前调查反馈结果，强化我局社区矫正业务工作，履行“第一责任”，配合县委县政府中心工作。目标内容1</w:t>
            </w:r>
          </w:p>
          <w:p>
            <w:pPr>
              <w:pStyle w:val="26"/>
            </w:pPr>
            <w:r>
              <w:t>2.维护县域安全稳定，抓好社区矫正对象衔接，严格规范日常社区矫正。</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社区矫正人数</w:t>
            </w:r>
          </w:p>
        </w:tc>
        <w:tc>
          <w:tcPr>
            <w:tcW w:w="2835" w:type="dxa"/>
            <w:vAlign w:val="center"/>
          </w:tcPr>
          <w:p>
            <w:pPr>
              <w:pStyle w:val="26"/>
            </w:pPr>
            <w:r>
              <w:t>本年度实际接收管理社区矫正对象数</w:t>
            </w:r>
          </w:p>
        </w:tc>
        <w:tc>
          <w:tcPr>
            <w:tcW w:w="2551" w:type="dxa"/>
            <w:vAlign w:val="center"/>
          </w:tcPr>
          <w:p>
            <w:pPr>
              <w:pStyle w:val="26"/>
            </w:pPr>
            <w:r>
              <w:t>≥160人</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社区矫正人员实际监管率</w:t>
            </w:r>
          </w:p>
        </w:tc>
        <w:tc>
          <w:tcPr>
            <w:tcW w:w="2835" w:type="dxa"/>
            <w:vAlign w:val="center"/>
          </w:tcPr>
          <w:p>
            <w:pPr>
              <w:pStyle w:val="26"/>
            </w:pPr>
            <w:r>
              <w:t>实际监管的社区矫正人员与实际接收人员比率</w:t>
            </w:r>
          </w:p>
        </w:tc>
        <w:tc>
          <w:tcPr>
            <w:tcW w:w="2551" w:type="dxa"/>
            <w:vAlign w:val="center"/>
          </w:tcPr>
          <w:p>
            <w:pPr>
              <w:pStyle w:val="26"/>
            </w:pPr>
            <w:r>
              <w:t>≥100%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审前调查完成时效</w:t>
            </w:r>
          </w:p>
        </w:tc>
        <w:tc>
          <w:tcPr>
            <w:tcW w:w="2835" w:type="dxa"/>
            <w:vAlign w:val="center"/>
          </w:tcPr>
          <w:p>
            <w:pPr>
              <w:pStyle w:val="26"/>
            </w:pPr>
            <w:r>
              <w:t>本市内社区矫正人员审前调查完成天数</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社区矫正人员人均费用</w:t>
            </w:r>
          </w:p>
        </w:tc>
        <w:tc>
          <w:tcPr>
            <w:tcW w:w="2835" w:type="dxa"/>
            <w:vAlign w:val="center"/>
          </w:tcPr>
          <w:p>
            <w:pPr>
              <w:pStyle w:val="26"/>
            </w:pPr>
            <w:r>
              <w:t>日常管理社区矫正人员人均费用</w:t>
            </w:r>
          </w:p>
        </w:tc>
        <w:tc>
          <w:tcPr>
            <w:tcW w:w="2551" w:type="dxa"/>
            <w:vAlign w:val="center"/>
          </w:tcPr>
          <w:p>
            <w:pPr>
              <w:pStyle w:val="26"/>
            </w:pPr>
            <w:r>
              <w:t>≤358元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社区矫正正常解矫率</w:t>
            </w:r>
          </w:p>
        </w:tc>
        <w:tc>
          <w:tcPr>
            <w:tcW w:w="2835" w:type="dxa"/>
            <w:vAlign w:val="center"/>
          </w:tcPr>
          <w:p>
            <w:pPr>
              <w:pStyle w:val="26"/>
            </w:pPr>
            <w:r>
              <w:t>接收进入社区矫正人员和平稳解除社区矫正人员的比率</w:t>
            </w:r>
          </w:p>
        </w:tc>
        <w:tc>
          <w:tcPr>
            <w:tcW w:w="2551" w:type="dxa"/>
            <w:vAlign w:val="center"/>
          </w:tcPr>
          <w:p>
            <w:pPr>
              <w:pStyle w:val="26"/>
            </w:pPr>
            <w:r>
              <w:t>≥95%</w:t>
            </w:r>
          </w:p>
        </w:tc>
        <w:tc>
          <w:tcPr>
            <w:tcW w:w="2268" w:type="dxa"/>
            <w:vAlign w:val="center"/>
          </w:tcPr>
          <w:p>
            <w:pPr>
              <w:pStyle w:val="2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社会效益指标</w:t>
            </w:r>
          </w:p>
        </w:tc>
        <w:tc>
          <w:tcPr>
            <w:tcW w:w="2835" w:type="dxa"/>
            <w:vAlign w:val="center"/>
          </w:tcPr>
          <w:p>
            <w:pPr>
              <w:pStyle w:val="26"/>
            </w:pPr>
            <w:r>
              <w:t>社区矫正人员再犯罪率</w:t>
            </w:r>
          </w:p>
        </w:tc>
        <w:tc>
          <w:tcPr>
            <w:tcW w:w="2835" w:type="dxa"/>
            <w:vAlign w:val="center"/>
          </w:tcPr>
          <w:p>
            <w:pPr>
              <w:pStyle w:val="26"/>
            </w:pPr>
            <w:r>
              <w:t>实际监管的社区矫正人员与再犯罪社区矫正人员的比率</w:t>
            </w:r>
          </w:p>
        </w:tc>
        <w:tc>
          <w:tcPr>
            <w:tcW w:w="2551" w:type="dxa"/>
            <w:vAlign w:val="center"/>
          </w:tcPr>
          <w:p>
            <w:pPr>
              <w:pStyle w:val="26"/>
            </w:pPr>
            <w:r>
              <w:t>≤2‰</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受益群体满意度</w:t>
            </w:r>
          </w:p>
        </w:tc>
        <w:tc>
          <w:tcPr>
            <w:tcW w:w="2835" w:type="dxa"/>
            <w:vAlign w:val="center"/>
          </w:tcPr>
          <w:p>
            <w:pPr>
              <w:pStyle w:val="26"/>
            </w:pPr>
            <w:r>
              <w:t>受益群体对社区矫正工作的满意度</w:t>
            </w:r>
          </w:p>
        </w:tc>
        <w:tc>
          <w:tcPr>
            <w:tcW w:w="2551" w:type="dxa"/>
            <w:vAlign w:val="center"/>
          </w:tcPr>
          <w:p>
            <w:pPr>
              <w:pStyle w:val="26"/>
            </w:pPr>
            <w:r>
              <w:t>≥85%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8、2022年中央政法纪检监察转移支付资金绩效目标表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1.涉密</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涉密</w:t>
            </w:r>
          </w:p>
        </w:tc>
        <w:tc>
          <w:tcPr>
            <w:tcW w:w="2835" w:type="dxa"/>
            <w:vAlign w:val="center"/>
          </w:tcPr>
          <w:p>
            <w:pPr>
              <w:pStyle w:val="26"/>
            </w:pPr>
            <w:r>
              <w:t>涉密</w:t>
            </w:r>
          </w:p>
        </w:tc>
        <w:tc>
          <w:tcPr>
            <w:tcW w:w="2551" w:type="dxa"/>
            <w:vAlign w:val="center"/>
          </w:tcPr>
          <w:p>
            <w:pPr>
              <w:pStyle w:val="26"/>
            </w:pPr>
            <w:r>
              <w:t>涉密</w:t>
            </w:r>
          </w:p>
        </w:tc>
        <w:tc>
          <w:tcPr>
            <w:tcW w:w="2268" w:type="dxa"/>
            <w:vAlign w:val="center"/>
          </w:tcPr>
          <w:p>
            <w:pPr>
              <w:pStyle w:val="26"/>
            </w:pPr>
            <w:r>
              <w:t>涉密</w:t>
            </w:r>
          </w:p>
        </w:tc>
      </w:tr>
    </w:tbl>
    <w:p>
      <w:pPr>
        <w:pStyle w:val="24"/>
      </w:pPr>
    </w:p>
    <w:p>
      <w:pPr>
        <w:pStyle w:val="24"/>
        <w:ind w:firstLine="560"/>
      </w:pPr>
      <w:r>
        <w:rPr>
          <w:rFonts w:ascii="方正仿宋_GBK" w:eastAsia="方正仿宋_GBK" w:cs="方正仿宋_GBK"/>
          <w:b/>
          <w:color w:val="000000"/>
          <w:sz w:val="28"/>
        </w:rPr>
        <w:t>9、法律援助工作经费绩效目标表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1.受理法律援助案件不低于320件，实际提供法援达80%以上，保障援助律师不少于500元的案件补贴，提高办案数量，做到应援尽援。</w:t>
            </w:r>
          </w:p>
          <w:p>
            <w:pPr>
              <w:pStyle w:val="26"/>
            </w:pPr>
            <w:r>
              <w:t>2.年度办结法律援助案件达80%以上，群众对法援工作的认知度达90%以上，完善法律援助工作体制和机制，推动全县法律援助工作长期发展，将法律援助工作范围普及到困难家庭和农民工群体。加大宣传力度，提升法律援助服务效果，开展多种形式的宣传活动，将法律援助知识普及到困难家庭和农民工群体.</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法律援助案件受理数（件）</w:t>
            </w:r>
          </w:p>
        </w:tc>
        <w:tc>
          <w:tcPr>
            <w:tcW w:w="2835" w:type="dxa"/>
            <w:vAlign w:val="center"/>
          </w:tcPr>
          <w:p>
            <w:pPr>
              <w:pStyle w:val="26"/>
            </w:pPr>
            <w:r>
              <w:t>受理法律援助案件数量</w:t>
            </w:r>
          </w:p>
        </w:tc>
        <w:tc>
          <w:tcPr>
            <w:tcW w:w="2551" w:type="dxa"/>
            <w:vAlign w:val="center"/>
          </w:tcPr>
          <w:p>
            <w:pPr>
              <w:pStyle w:val="26"/>
            </w:pPr>
            <w:r>
              <w:t>≥320件</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法律援助中心律师提供援助服务率</w:t>
            </w:r>
          </w:p>
        </w:tc>
        <w:tc>
          <w:tcPr>
            <w:tcW w:w="2835" w:type="dxa"/>
            <w:vAlign w:val="center"/>
          </w:tcPr>
          <w:p>
            <w:pPr>
              <w:pStyle w:val="26"/>
            </w:pPr>
            <w:r>
              <w:t>申请法援人数和实际提供法援人数比率</w:t>
            </w:r>
          </w:p>
        </w:tc>
        <w:tc>
          <w:tcPr>
            <w:tcW w:w="2551" w:type="dxa"/>
            <w:vAlign w:val="center"/>
          </w:tcPr>
          <w:p>
            <w:pPr>
              <w:pStyle w:val="26"/>
            </w:pPr>
            <w:r>
              <w:t>≥80%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指派援助律师天数</w:t>
            </w:r>
          </w:p>
        </w:tc>
        <w:tc>
          <w:tcPr>
            <w:tcW w:w="2835" w:type="dxa"/>
            <w:vAlign w:val="center"/>
          </w:tcPr>
          <w:p>
            <w:pPr>
              <w:pStyle w:val="26"/>
            </w:pPr>
            <w:r>
              <w:t>符合援助条件案件指派援助律师时限</w:t>
            </w:r>
          </w:p>
        </w:tc>
        <w:tc>
          <w:tcPr>
            <w:tcW w:w="2551" w:type="dxa"/>
            <w:vAlign w:val="center"/>
          </w:tcPr>
          <w:p>
            <w:pPr>
              <w:pStyle w:val="26"/>
            </w:pPr>
            <w:r>
              <w:t>≤7天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援助补助标准</w:t>
            </w:r>
          </w:p>
        </w:tc>
        <w:tc>
          <w:tcPr>
            <w:tcW w:w="2835" w:type="dxa"/>
            <w:vAlign w:val="center"/>
          </w:tcPr>
          <w:p>
            <w:pPr>
              <w:pStyle w:val="26"/>
            </w:pPr>
            <w:r>
              <w:t>法律援助律师援助案件补助标准</w:t>
            </w:r>
          </w:p>
        </w:tc>
        <w:tc>
          <w:tcPr>
            <w:tcW w:w="2551" w:type="dxa"/>
            <w:vAlign w:val="center"/>
          </w:tcPr>
          <w:p>
            <w:pPr>
              <w:pStyle w:val="26"/>
            </w:pPr>
            <w:r>
              <w:t>≤500元</w:t>
            </w:r>
          </w:p>
        </w:tc>
        <w:tc>
          <w:tcPr>
            <w:tcW w:w="2268" w:type="dxa"/>
            <w:vAlign w:val="center"/>
          </w:tcPr>
          <w:p>
            <w:pPr>
              <w:pStyle w:val="2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法律援助案件办结率</w:t>
            </w:r>
          </w:p>
        </w:tc>
        <w:tc>
          <w:tcPr>
            <w:tcW w:w="2835" w:type="dxa"/>
            <w:vAlign w:val="center"/>
          </w:tcPr>
          <w:p>
            <w:pPr>
              <w:pStyle w:val="26"/>
            </w:pPr>
            <w:r>
              <w:t>已办结的法律援助案件占受理的法律援助案件比率</w:t>
            </w:r>
          </w:p>
        </w:tc>
        <w:tc>
          <w:tcPr>
            <w:tcW w:w="2551" w:type="dxa"/>
            <w:vAlign w:val="center"/>
          </w:tcPr>
          <w:p>
            <w:pPr>
              <w:pStyle w:val="26"/>
            </w:pPr>
            <w:r>
              <w:t>≥80%</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可持续影响指标</w:t>
            </w:r>
          </w:p>
        </w:tc>
        <w:tc>
          <w:tcPr>
            <w:tcW w:w="2835" w:type="dxa"/>
            <w:vAlign w:val="center"/>
          </w:tcPr>
          <w:p>
            <w:pPr>
              <w:pStyle w:val="26"/>
            </w:pPr>
            <w:r>
              <w:t>法律援助知晓度</w:t>
            </w:r>
          </w:p>
        </w:tc>
        <w:tc>
          <w:tcPr>
            <w:tcW w:w="2835" w:type="dxa"/>
            <w:vAlign w:val="center"/>
          </w:tcPr>
          <w:p>
            <w:pPr>
              <w:pStyle w:val="26"/>
            </w:pPr>
            <w:r>
              <w:t>群众对法律援助工作的认知度</w:t>
            </w:r>
          </w:p>
        </w:tc>
        <w:tc>
          <w:tcPr>
            <w:tcW w:w="2551" w:type="dxa"/>
            <w:vAlign w:val="center"/>
          </w:tcPr>
          <w:p>
            <w:pPr>
              <w:pStyle w:val="26"/>
            </w:pPr>
            <w:r>
              <w:t>≥90%</w:t>
            </w:r>
          </w:p>
        </w:tc>
        <w:tc>
          <w:tcPr>
            <w:tcW w:w="2268" w:type="dxa"/>
            <w:vAlign w:val="center"/>
          </w:tcPr>
          <w:p>
            <w:pPr>
              <w:pStyle w:val="2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服务对象满意度</w:t>
            </w:r>
          </w:p>
        </w:tc>
        <w:tc>
          <w:tcPr>
            <w:tcW w:w="2835" w:type="dxa"/>
            <w:vAlign w:val="center"/>
          </w:tcPr>
          <w:p>
            <w:pPr>
              <w:pStyle w:val="26"/>
            </w:pPr>
            <w:r>
              <w:t>群众对法律援助工作的满意程度</w:t>
            </w:r>
          </w:p>
        </w:tc>
        <w:tc>
          <w:tcPr>
            <w:tcW w:w="2551" w:type="dxa"/>
            <w:vAlign w:val="center"/>
          </w:tcPr>
          <w:p>
            <w:pPr>
              <w:pStyle w:val="26"/>
            </w:pPr>
            <w:r>
              <w:t>≥95%</w:t>
            </w:r>
          </w:p>
        </w:tc>
        <w:tc>
          <w:tcPr>
            <w:tcW w:w="2268" w:type="dxa"/>
            <w:vAlign w:val="center"/>
          </w:tcPr>
          <w:p>
            <w:pPr>
              <w:pStyle w:val="26"/>
            </w:pPr>
            <w:r>
              <w:t>调查问卷</w:t>
            </w:r>
          </w:p>
        </w:tc>
      </w:tr>
    </w:tbl>
    <w:p>
      <w:pPr>
        <w:pStyle w:val="24"/>
      </w:pPr>
    </w:p>
    <w:p>
      <w:pPr>
        <w:pStyle w:val="24"/>
        <w:ind w:firstLine="560"/>
      </w:pPr>
      <w:r>
        <w:rPr>
          <w:rFonts w:ascii="方正仿宋_GBK" w:eastAsia="方正仿宋_GBK" w:cs="方正仿宋_GBK"/>
          <w:b/>
          <w:color w:val="000000"/>
          <w:sz w:val="28"/>
        </w:rPr>
        <w:t>10、普法宣传工作经费绩效目标表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5"/>
            </w:pPr>
            <w:r>
              <w:t>绩效目标</w:t>
            </w:r>
          </w:p>
        </w:tc>
        <w:tc>
          <w:tcPr>
            <w:tcW w:w="12756" w:type="dxa"/>
            <w:tcBorders>
              <w:bottom w:val="single" w:color="FFFFFF" w:sz="6" w:space="0"/>
            </w:tcBorders>
            <w:vAlign w:val="center"/>
          </w:tcPr>
          <w:p>
            <w:pPr>
              <w:pStyle w:val="26"/>
            </w:pPr>
            <w:r>
              <w:t>1.提供法律咨询300次以上，全年开展普法宣传活动占计划开展活动95%以上，切实提高全县人民法律意识和法律素质，增强法制化管理水平，促进全县民主和法制建设。</w:t>
            </w:r>
          </w:p>
          <w:p>
            <w:pPr>
              <w:pStyle w:val="26"/>
            </w:pPr>
            <w:r>
              <w:t>2.开展多种形式的法制宣传教育，抓好关键少数，指导全县法制宣传、依法治理工作，进一步建设法制宣传载体。</w:t>
            </w:r>
          </w:p>
        </w:tc>
      </w:tr>
    </w:tbl>
    <w:p>
      <w:pPr>
        <w:pStyle w:val="24"/>
        <w:spacing w:line="2" w:lineRule="exact"/>
        <w:jc w:val="center"/>
      </w:pPr>
      <w:r>
        <w:rPr>
          <w:rFonts w:asci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25"/>
            </w:pPr>
            <w:r>
              <w:t>一级指标</w:t>
            </w:r>
          </w:p>
        </w:tc>
        <w:tc>
          <w:tcPr>
            <w:tcW w:w="2268" w:type="dxa"/>
            <w:vAlign w:val="center"/>
          </w:tcPr>
          <w:p>
            <w:pPr>
              <w:pStyle w:val="25"/>
            </w:pPr>
            <w:r>
              <w:t>二级指标</w:t>
            </w:r>
          </w:p>
        </w:tc>
        <w:tc>
          <w:tcPr>
            <w:tcW w:w="2835" w:type="dxa"/>
            <w:vAlign w:val="center"/>
          </w:tcPr>
          <w:p>
            <w:pPr>
              <w:pStyle w:val="25"/>
            </w:pPr>
            <w:r>
              <w:t>三级指标</w:t>
            </w:r>
          </w:p>
        </w:tc>
        <w:tc>
          <w:tcPr>
            <w:tcW w:w="2835" w:type="dxa"/>
            <w:vAlign w:val="center"/>
          </w:tcPr>
          <w:p>
            <w:pPr>
              <w:pStyle w:val="25"/>
            </w:pPr>
            <w:r>
              <w:t>绩效指标描述</w:t>
            </w:r>
          </w:p>
        </w:tc>
        <w:tc>
          <w:tcPr>
            <w:tcW w:w="2551" w:type="dxa"/>
            <w:vAlign w:val="center"/>
          </w:tcPr>
          <w:p>
            <w:pPr>
              <w:pStyle w:val="25"/>
            </w:pPr>
            <w:r>
              <w:t>指标值</w:t>
            </w:r>
          </w:p>
        </w:tc>
        <w:tc>
          <w:tcPr>
            <w:tcW w:w="2268" w:type="dxa"/>
            <w:vAlign w:val="center"/>
          </w:tcPr>
          <w:p>
            <w:pPr>
              <w:pStyle w:val="2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产出指标</w:t>
            </w:r>
          </w:p>
        </w:tc>
        <w:tc>
          <w:tcPr>
            <w:tcW w:w="2268" w:type="dxa"/>
            <w:vAlign w:val="center"/>
          </w:tcPr>
          <w:p>
            <w:pPr>
              <w:pStyle w:val="26"/>
            </w:pPr>
            <w:r>
              <w:t>数量指标</w:t>
            </w:r>
          </w:p>
        </w:tc>
        <w:tc>
          <w:tcPr>
            <w:tcW w:w="2835" w:type="dxa"/>
            <w:vAlign w:val="center"/>
          </w:tcPr>
          <w:p>
            <w:pPr>
              <w:pStyle w:val="26"/>
            </w:pPr>
            <w:r>
              <w:t>提供法律咨询</w:t>
            </w:r>
          </w:p>
        </w:tc>
        <w:tc>
          <w:tcPr>
            <w:tcW w:w="2835" w:type="dxa"/>
            <w:vAlign w:val="center"/>
          </w:tcPr>
          <w:p>
            <w:pPr>
              <w:pStyle w:val="26"/>
            </w:pPr>
            <w:r>
              <w:t>开展活动提供法律咨询次数</w:t>
            </w:r>
          </w:p>
        </w:tc>
        <w:tc>
          <w:tcPr>
            <w:tcW w:w="2551" w:type="dxa"/>
            <w:vAlign w:val="center"/>
          </w:tcPr>
          <w:p>
            <w:pPr>
              <w:pStyle w:val="26"/>
            </w:pPr>
            <w:r>
              <w:t>≥300次</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质量指标</w:t>
            </w:r>
          </w:p>
        </w:tc>
        <w:tc>
          <w:tcPr>
            <w:tcW w:w="2835" w:type="dxa"/>
            <w:vAlign w:val="center"/>
          </w:tcPr>
          <w:p>
            <w:pPr>
              <w:pStyle w:val="26"/>
            </w:pPr>
            <w:r>
              <w:t>开展宣传活动率</w:t>
            </w:r>
          </w:p>
        </w:tc>
        <w:tc>
          <w:tcPr>
            <w:tcW w:w="2835" w:type="dxa"/>
            <w:vAlign w:val="center"/>
          </w:tcPr>
          <w:p>
            <w:pPr>
              <w:pStyle w:val="26"/>
            </w:pPr>
            <w:r>
              <w:t>开展宣传活动与全年计划开展活动比率</w:t>
            </w:r>
          </w:p>
        </w:tc>
        <w:tc>
          <w:tcPr>
            <w:tcW w:w="2551" w:type="dxa"/>
            <w:vAlign w:val="center"/>
          </w:tcPr>
          <w:p>
            <w:pPr>
              <w:pStyle w:val="26"/>
            </w:pPr>
            <w:r>
              <w:t>≥95%</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时效指标</w:t>
            </w:r>
          </w:p>
        </w:tc>
        <w:tc>
          <w:tcPr>
            <w:tcW w:w="2835" w:type="dxa"/>
            <w:vAlign w:val="center"/>
          </w:tcPr>
          <w:p>
            <w:pPr>
              <w:pStyle w:val="26"/>
            </w:pPr>
            <w:r>
              <w:t>宣传活动完成时间</w:t>
            </w:r>
          </w:p>
        </w:tc>
        <w:tc>
          <w:tcPr>
            <w:tcW w:w="2835" w:type="dxa"/>
            <w:vAlign w:val="center"/>
          </w:tcPr>
          <w:p>
            <w:pPr>
              <w:pStyle w:val="26"/>
            </w:pPr>
            <w:r>
              <w:t>每次法律宣传活动完成时间</w:t>
            </w:r>
          </w:p>
        </w:tc>
        <w:tc>
          <w:tcPr>
            <w:tcW w:w="2551" w:type="dxa"/>
            <w:vAlign w:val="center"/>
          </w:tcPr>
          <w:p>
            <w:pPr>
              <w:pStyle w:val="26"/>
            </w:pPr>
            <w:r>
              <w:t>1天</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成本指标</w:t>
            </w:r>
          </w:p>
        </w:tc>
        <w:tc>
          <w:tcPr>
            <w:tcW w:w="2835" w:type="dxa"/>
            <w:vAlign w:val="center"/>
          </w:tcPr>
          <w:p>
            <w:pPr>
              <w:pStyle w:val="26"/>
            </w:pPr>
            <w:r>
              <w:t>法律宣传活动成本</w:t>
            </w:r>
          </w:p>
        </w:tc>
        <w:tc>
          <w:tcPr>
            <w:tcW w:w="2835" w:type="dxa"/>
            <w:vAlign w:val="center"/>
          </w:tcPr>
          <w:p>
            <w:pPr>
              <w:pStyle w:val="26"/>
            </w:pPr>
            <w:r>
              <w:t>组织每次法律宣传活动成本</w:t>
            </w:r>
          </w:p>
        </w:tc>
        <w:tc>
          <w:tcPr>
            <w:tcW w:w="2551" w:type="dxa"/>
            <w:vAlign w:val="center"/>
          </w:tcPr>
          <w:p>
            <w:pPr>
              <w:pStyle w:val="26"/>
            </w:pPr>
            <w:r>
              <w:t>≤2000元</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27"/>
            </w:pPr>
            <w:r>
              <w:t>效益指标</w:t>
            </w:r>
          </w:p>
        </w:tc>
        <w:tc>
          <w:tcPr>
            <w:tcW w:w="2268" w:type="dxa"/>
            <w:vAlign w:val="center"/>
          </w:tcPr>
          <w:p>
            <w:pPr>
              <w:pStyle w:val="26"/>
            </w:pPr>
            <w:r>
              <w:t>社会效益指标</w:t>
            </w:r>
          </w:p>
        </w:tc>
        <w:tc>
          <w:tcPr>
            <w:tcW w:w="2835" w:type="dxa"/>
            <w:vAlign w:val="center"/>
          </w:tcPr>
          <w:p>
            <w:pPr>
              <w:pStyle w:val="26"/>
            </w:pPr>
            <w:r>
              <w:t>法律宣传活动完成率</w:t>
            </w:r>
          </w:p>
        </w:tc>
        <w:tc>
          <w:tcPr>
            <w:tcW w:w="2835" w:type="dxa"/>
            <w:vAlign w:val="center"/>
          </w:tcPr>
          <w:p>
            <w:pPr>
              <w:pStyle w:val="26"/>
            </w:pPr>
            <w:r>
              <w:t>本年开展法律宣传活动和上级要求比率</w:t>
            </w:r>
          </w:p>
        </w:tc>
        <w:tc>
          <w:tcPr>
            <w:tcW w:w="2551" w:type="dxa"/>
            <w:vAlign w:val="center"/>
          </w:tcPr>
          <w:p>
            <w:pPr>
              <w:pStyle w:val="26"/>
            </w:pPr>
            <w:r>
              <w:t>≥98%</w:t>
            </w:r>
          </w:p>
        </w:tc>
        <w:tc>
          <w:tcPr>
            <w:tcW w:w="2268" w:type="dxa"/>
            <w:vAlign w:val="center"/>
          </w:tcPr>
          <w:p>
            <w:pPr>
              <w:pStyle w:val="26"/>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26"/>
            </w:pPr>
            <w:r>
              <w:t>可持续影响指标</w:t>
            </w:r>
          </w:p>
        </w:tc>
        <w:tc>
          <w:tcPr>
            <w:tcW w:w="2835" w:type="dxa"/>
            <w:vAlign w:val="center"/>
          </w:tcPr>
          <w:p>
            <w:pPr>
              <w:pStyle w:val="26"/>
            </w:pPr>
            <w:r>
              <w:t>法律宣传群众知晓度</w:t>
            </w:r>
          </w:p>
        </w:tc>
        <w:tc>
          <w:tcPr>
            <w:tcW w:w="2835" w:type="dxa"/>
            <w:vAlign w:val="center"/>
          </w:tcPr>
          <w:p>
            <w:pPr>
              <w:pStyle w:val="26"/>
            </w:pPr>
            <w:r>
              <w:t>本年开展法律宣传活动群众知晓度</w:t>
            </w:r>
          </w:p>
        </w:tc>
        <w:tc>
          <w:tcPr>
            <w:tcW w:w="2551" w:type="dxa"/>
            <w:vAlign w:val="center"/>
          </w:tcPr>
          <w:p>
            <w:pPr>
              <w:pStyle w:val="26"/>
            </w:pPr>
            <w:r>
              <w:t>≥90%</w:t>
            </w:r>
          </w:p>
        </w:tc>
        <w:tc>
          <w:tcPr>
            <w:tcW w:w="2268" w:type="dxa"/>
            <w:vAlign w:val="center"/>
          </w:tcPr>
          <w:p>
            <w:pPr>
              <w:pStyle w:val="26"/>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27"/>
            </w:pPr>
            <w:r>
              <w:t>满意度指标</w:t>
            </w:r>
          </w:p>
        </w:tc>
        <w:tc>
          <w:tcPr>
            <w:tcW w:w="2268" w:type="dxa"/>
            <w:vAlign w:val="center"/>
          </w:tcPr>
          <w:p>
            <w:pPr>
              <w:pStyle w:val="26"/>
            </w:pPr>
            <w:r>
              <w:t>服务对象满意度指标</w:t>
            </w:r>
          </w:p>
        </w:tc>
        <w:tc>
          <w:tcPr>
            <w:tcW w:w="2835" w:type="dxa"/>
            <w:vAlign w:val="center"/>
          </w:tcPr>
          <w:p>
            <w:pPr>
              <w:pStyle w:val="26"/>
            </w:pPr>
            <w:r>
              <w:t>群众满意度</w:t>
            </w:r>
          </w:p>
        </w:tc>
        <w:tc>
          <w:tcPr>
            <w:tcW w:w="2835" w:type="dxa"/>
            <w:vAlign w:val="center"/>
          </w:tcPr>
          <w:p>
            <w:pPr>
              <w:pStyle w:val="26"/>
            </w:pPr>
            <w:r>
              <w:t>开展法律宣传的群众对我单位提供服务的满意度</w:t>
            </w:r>
          </w:p>
        </w:tc>
        <w:tc>
          <w:tcPr>
            <w:tcW w:w="2551" w:type="dxa"/>
            <w:vAlign w:val="center"/>
          </w:tcPr>
          <w:p>
            <w:pPr>
              <w:pStyle w:val="26"/>
            </w:pPr>
            <w:r>
              <w:t>≥95%</w:t>
            </w:r>
          </w:p>
        </w:tc>
        <w:tc>
          <w:tcPr>
            <w:tcW w:w="2268" w:type="dxa"/>
            <w:vAlign w:val="center"/>
          </w:tcPr>
          <w:p>
            <w:pPr>
              <w:pStyle w:val="26"/>
            </w:pPr>
            <w:r>
              <w:t>调查问卷</w:t>
            </w:r>
          </w:p>
        </w:tc>
      </w:tr>
    </w:tbl>
    <w:p>
      <w:pPr>
        <w:pStyle w:val="24"/>
        <w:sectPr>
          <w:pgSz w:w="16840" w:h="11900" w:orient="landscape"/>
          <w:pgMar w:top="1361" w:right="1020" w:bottom="1361" w:left="1020" w:header="720" w:footer="720" w:gutter="0"/>
          <w:cols w:space="720" w:num="1"/>
          <w:docGrid w:linePitch="326" w:charSpace="0"/>
        </w:sectPr>
      </w:pPr>
    </w:p>
    <w:p>
      <w:pPr>
        <w:spacing w:before="10" w:after="10"/>
        <w:ind w:firstLine="640"/>
        <w:outlineLvl w:val="2"/>
      </w:pPr>
      <w:bookmarkStart w:id="14" w:name="_Toc_3_3_0000000015"/>
      <w:r>
        <w:rPr>
          <w:rFonts w:ascii="黑体" w:eastAsia="黑体" w:cs="黑体"/>
          <w:color w:val="000000"/>
          <w:sz w:val="32"/>
        </w:rPr>
        <w:t>六、政府采购预算情况</w:t>
      </w:r>
      <w:bookmarkEnd w:id="14"/>
    </w:p>
    <w:p>
      <w:pPr>
        <w:spacing w:line="500" w:lineRule="exact"/>
        <w:ind w:firstLine="560"/>
      </w:pPr>
      <w:r>
        <w:rPr>
          <w:rFonts w:eastAsia="方正仿宋_GBK"/>
          <w:color w:val="000000"/>
          <w:sz w:val="28"/>
        </w:rPr>
        <w:t>2022年，灵寿县司法局安排政府采购预算0.00万元。具体内容见下表。</w:t>
      </w:r>
    </w:p>
    <w:p>
      <w:pPr>
        <w:jc w:val="center"/>
      </w:pPr>
      <w:r>
        <w:rPr>
          <w:rFonts w:asci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315灵寿县司法局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_3_3_0000000016"/>
      <w:r>
        <w:rPr>
          <w:rFonts w:ascii="黑体" w:eastAsia="黑体" w:cs="黑体"/>
          <w:color w:val="000000"/>
          <w:sz w:val="32"/>
        </w:rPr>
        <w:t>七、国有资产信息</w:t>
      </w:r>
      <w:bookmarkEnd w:id="15"/>
    </w:p>
    <w:p>
      <w:pPr>
        <w:spacing w:line="500" w:lineRule="exact"/>
        <w:ind w:firstLine="560"/>
      </w:pPr>
      <w:r>
        <w:rPr>
          <w:rFonts w:eastAsia="方正仿宋_GBK"/>
          <w:color w:val="000000"/>
          <w:sz w:val="28"/>
        </w:rPr>
        <w:t>灵寿县司法局（含所属单位）上年末固定资产金额为224.01万元（详见下表）。本年度拟购置固定资产总额为0.00万元，已按要求列入政府采购预算，详见政府采购预算表。</w:t>
      </w:r>
    </w:p>
    <w:p>
      <w:pPr>
        <w:jc w:val="center"/>
      </w:pPr>
      <w:r>
        <w:rPr>
          <w:rFonts w:asci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315灵寿县司法局</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39.06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184.95</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eastAsia="黑体" w:cs="黑体"/>
          <w:color w:val="000000"/>
          <w:sz w:val="32"/>
        </w:rPr>
        <w:t>九、其他需要说明的事项</w:t>
      </w:r>
      <w:bookmarkEnd w:id="17"/>
    </w:p>
    <w:p>
      <w:pPr>
        <w:spacing w:line="500" w:lineRule="exact"/>
        <w:ind w:firstLine="560"/>
        <w:rPr>
          <w:rFonts w:eastAsia="方正仿宋_GBK"/>
          <w:color w:val="000000"/>
          <w:sz w:val="28"/>
        </w:rPr>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swiss"/>
    <w:pitch w:val="default"/>
    <w:sig w:usb0="E0002AFF" w:usb1="C0007843" w:usb2="00000009" w:usb3="00000000" w:csb0="400001FF" w:csb1="FFFF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DE7FE8F"/>
    <w:multiLevelType w:val="singleLevel"/>
    <w:tmpl w:val="3DE7FE8F"/>
    <w:lvl w:ilvl="0" w:tentative="0">
      <w:start w:val="3"/>
      <w:numFmt w:val="chineseCounting"/>
      <w:suff w:val="space"/>
      <w:lvlText w:val="第%1部分"/>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
  <w:docVars>
    <w:docVar w:name="commondata" w:val="eyJoZGlkIjoiOTg3YTEyYjE4NGJmM2YyM2E0MjAyZTg2ZGQ2OTRjMjkifQ=="/>
  </w:docVars>
  <w:rsids>
    <w:rsidRoot w:val="00000000"/>
    <w:rsid w:val="1CA764D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rPr>
  </w:style>
  <w:style w:type="paragraph" w:styleId="3">
    <w:name w:val="heading 2"/>
    <w:basedOn w:val="1"/>
    <w:next w:val="1"/>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uiPriority w:val="0"/>
    <w:pPr>
      <w:keepNext/>
      <w:keepLines/>
      <w:spacing w:before="260" w:after="260" w:line="415" w:lineRule="auto"/>
      <w:outlineLvl w:val="2"/>
    </w:pPr>
    <w:rPr>
      <w:b/>
      <w:sz w:val="32"/>
    </w:rPr>
  </w:style>
  <w:style w:type="character" w:default="1" w:styleId="6">
    <w:name w:val="Default Paragraph Fon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7">
    <w:name w:val="单元格样式22"/>
    <w:basedOn w:val="1"/>
    <w:uiPriority w:val="0"/>
    <w:pPr>
      <w:jc w:val="right"/>
    </w:pPr>
    <w:rPr>
      <w:rFonts w:ascii="方正小标宋_GBK" w:eastAsia="方正小标宋_GBK" w:cs="方正小标宋_GBK"/>
    </w:rPr>
  </w:style>
  <w:style w:type="paragraph" w:customStyle="1" w:styleId="8">
    <w:name w:val="单元格样式21"/>
    <w:basedOn w:val="1"/>
    <w:uiPriority w:val="0"/>
    <w:pPr>
      <w:jc w:val="center"/>
    </w:pPr>
    <w:rPr>
      <w:rFonts w:ascii="方正小标宋_GBK" w:eastAsia="方正小标宋_GBK" w:cs="方正小标宋_GBK"/>
    </w:rPr>
  </w:style>
  <w:style w:type="paragraph" w:customStyle="1" w:styleId="9">
    <w:name w:val="单元格样式20"/>
    <w:basedOn w:val="1"/>
    <w:uiPriority w:val="0"/>
    <w:rPr>
      <w:rFonts w:ascii="方正小标宋_GBK" w:eastAsia="方正小标宋_GBK" w:cs="方正小标宋_GBK"/>
    </w:rPr>
  </w:style>
  <w:style w:type="paragraph" w:customStyle="1" w:styleId="10">
    <w:name w:val="单元格样式1"/>
    <w:basedOn w:val="1"/>
    <w:uiPriority w:val="0"/>
    <w:pPr>
      <w:jc w:val="center"/>
    </w:pPr>
    <w:rPr>
      <w:rFonts w:ascii="方正书宋_GBK" w:eastAsia="方正书宋_GBK" w:cs="方正书宋_GBK"/>
      <w:b/>
      <w:sz w:val="21"/>
    </w:rPr>
  </w:style>
  <w:style w:type="paragraph" w:customStyle="1" w:styleId="11">
    <w:name w:val="单元格样式4"/>
    <w:basedOn w:val="1"/>
    <w:uiPriority w:val="0"/>
    <w:pPr>
      <w:jc w:val="right"/>
    </w:pPr>
    <w:rPr>
      <w:rFonts w:ascii="方正书宋_GBK" w:eastAsia="方正书宋_GBK" w:cs="方正书宋_GBK"/>
      <w:sz w:val="21"/>
    </w:rPr>
  </w:style>
  <w:style w:type="paragraph" w:customStyle="1" w:styleId="12">
    <w:name w:val="单元格样式2"/>
    <w:basedOn w:val="1"/>
    <w:autoRedefine/>
    <w:uiPriority w:val="0"/>
    <w:rPr>
      <w:rFonts w:ascii="方正书宋_GBK" w:eastAsia="方正书宋_GBK" w:cs="方正书宋_GBK"/>
      <w:sz w:val="21"/>
    </w:rPr>
  </w:style>
  <w:style w:type="paragraph" w:customStyle="1" w:styleId="13">
    <w:name w:val="单元格样式3"/>
    <w:basedOn w:val="1"/>
    <w:uiPriority w:val="0"/>
    <w:pPr>
      <w:jc w:val="center"/>
    </w:pPr>
    <w:rPr>
      <w:rFonts w:ascii="方正书宋_GBK" w:eastAsia="方正书宋_GBK" w:cs="方正书宋_GBK"/>
      <w:sz w:val="21"/>
    </w:rPr>
  </w:style>
  <w:style w:type="paragraph" w:customStyle="1" w:styleId="14">
    <w:name w:val="单元格样式6"/>
    <w:basedOn w:val="1"/>
    <w:uiPriority w:val="0"/>
    <w:pPr>
      <w:jc w:val="center"/>
    </w:pPr>
    <w:rPr>
      <w:rFonts w:ascii="方正书宋_GBK" w:eastAsia="方正书宋_GBK" w:cs="方正书宋_GBK"/>
      <w:b/>
      <w:sz w:val="21"/>
    </w:rPr>
  </w:style>
  <w:style w:type="paragraph" w:customStyle="1" w:styleId="15">
    <w:name w:val="单元格样式7"/>
    <w:basedOn w:val="1"/>
    <w:uiPriority w:val="0"/>
    <w:pPr>
      <w:jc w:val="right"/>
    </w:pPr>
    <w:rPr>
      <w:rFonts w:ascii="方正书宋_GBK" w:eastAsia="方正书宋_GBK" w:cs="方正书宋_GBK"/>
      <w:b/>
      <w:sz w:val="21"/>
    </w:rPr>
  </w:style>
  <w:style w:type="paragraph" w:customStyle="1" w:styleId="16">
    <w:name w:val="单元格样式5"/>
    <w:basedOn w:val="1"/>
    <w:uiPriority w:val="0"/>
    <w:rPr>
      <w:rFonts w:ascii="方正书宋_GBK" w:eastAsia="方正书宋_GBK" w:cs="方正书宋_GBK"/>
      <w:b/>
      <w:sz w:val="21"/>
    </w:rPr>
  </w:style>
  <w:style w:type="paragraph" w:customStyle="1" w:styleId="17">
    <w:name w:val="插入文本样式-插入部门职责文件"/>
    <w:basedOn w:val="1"/>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uiPriority w:val="0"/>
    <w:pPr>
      <w:spacing w:line="500" w:lineRule="exact"/>
      <w:ind w:firstLine="560"/>
    </w:pPr>
    <w:rPr>
      <w:rFonts w:eastAsia="方正仿宋_GBK"/>
      <w:sz w:val="28"/>
    </w:rPr>
  </w:style>
  <w:style w:type="paragraph" w:customStyle="1" w:styleId="21">
    <w:name w:val="插入文本样式-插入总体目标文件"/>
    <w:basedOn w:val="1"/>
    <w:uiPriority w:val="0"/>
    <w:pPr>
      <w:spacing w:line="500" w:lineRule="exact"/>
      <w:ind w:firstLine="560"/>
    </w:pPr>
    <w:rPr>
      <w:rFonts w:eastAsia="方正仿宋_GBK"/>
      <w:sz w:val="28"/>
    </w:rPr>
  </w:style>
  <w:style w:type="paragraph" w:customStyle="1" w:styleId="22">
    <w:name w:val="插入文本样式-插入职责分类绩效目标文件"/>
    <w:basedOn w:val="1"/>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uiPriority w:val="0"/>
    <w:pPr>
      <w:spacing w:line="500" w:lineRule="exact"/>
      <w:ind w:firstLine="560"/>
    </w:pPr>
    <w:rPr>
      <w:rFonts w:eastAsia="方正仿宋_GBK"/>
      <w:sz w:val="28"/>
    </w:rPr>
  </w:style>
  <w:style w:type="paragraph" w:customStyle="1" w:styleId="24">
    <w:name w:val="Normal_78130871-62a8-4db9-828b-17ccc5424687"/>
    <w:uiPriority w:val="0"/>
    <w:rPr>
      <w:rFonts w:ascii="Times New Roman" w:hAnsi="Times New Roman" w:eastAsia="Times New Roman" w:cs="Times New Roman"/>
      <w:sz w:val="24"/>
      <w:szCs w:val="24"/>
      <w:lang w:val="en-US" w:eastAsia="uk-UA" w:bidi="ar-SA"/>
    </w:rPr>
  </w:style>
  <w:style w:type="paragraph" w:customStyle="1" w:styleId="25">
    <w:name w:val="单元格样式1_e08a7593-d5ec-4ecb-8116-e3c7d38b6e35"/>
    <w:basedOn w:val="1"/>
    <w:uiPriority w:val="0"/>
    <w:pPr>
      <w:jc w:val="center"/>
    </w:pPr>
    <w:rPr>
      <w:rFonts w:ascii="方正书宋_GBK" w:eastAsia="方正书宋_GBK" w:cs="方正书宋_GBK"/>
      <w:b/>
      <w:sz w:val="21"/>
    </w:rPr>
  </w:style>
  <w:style w:type="paragraph" w:customStyle="1" w:styleId="26">
    <w:name w:val="单元格样式2_f05cf3d6-30d2-4618-a9c2-3291540beb98"/>
    <w:basedOn w:val="1"/>
    <w:uiPriority w:val="0"/>
    <w:rPr>
      <w:rFonts w:ascii="方正书宋_GBK" w:eastAsia="方正书宋_GBK" w:cs="方正书宋_GBK"/>
      <w:sz w:val="21"/>
    </w:rPr>
  </w:style>
  <w:style w:type="paragraph" w:customStyle="1" w:styleId="27">
    <w:name w:val="单元格样式3_68d6c6ce-e6a6-4a25-8e81-cac8656a9a42"/>
    <w:basedOn w:val="1"/>
    <w:uiPriority w:val="0"/>
    <w:pPr>
      <w:jc w:val="center"/>
    </w:pPr>
    <w:rPr>
      <w:rFonts w:ascii="方正书宋_GBK" w:eastAsia="方正书宋_GBK" w:cs="方正书宋_GBK"/>
      <w:sz w:val="21"/>
    </w:rPr>
  </w:style>
  <w:style w:type="paragraph" w:customStyle="1" w:styleId="28">
    <w:name w:val="单元格样式23"/>
    <w:basedOn w:val="1"/>
    <w:uiPriority w:val="0"/>
    <w:pPr>
      <w:jc w:val="right"/>
    </w:pPr>
    <w:rPr>
      <w:rFonts w:ascii="方正书宋_GBK" w:eastAsia="方正书宋_GBK" w:cs="方正书宋_GBK"/>
    </w:rPr>
  </w:style>
  <w:style w:type="paragraph" w:customStyle="1" w:styleId="29">
    <w:name w:val="插入文本样式-插入单位职责文件"/>
    <w:basedOn w:val="1"/>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uiPriority w:val="0"/>
    <w:pPr>
      <w:spacing w:line="500" w:lineRule="exact"/>
      <w:ind w:firstLine="560"/>
    </w:pPr>
    <w:rPr>
      <w:rFonts w:eastAsia="方正仿宋_GBK"/>
      <w:sz w:val="28"/>
    </w:rPr>
  </w:style>
  <w:style w:type="paragraph" w:customStyle="1" w:styleId="33">
    <w:name w:val="TOC 2"/>
    <w:basedOn w:val="1"/>
    <w:uiPriority w:val="0"/>
    <w:pPr>
      <w:ind w:left="240"/>
    </w:pPr>
  </w:style>
  <w:style w:type="paragraph" w:customStyle="1" w:styleId="34">
    <w:name w:val="TOC 3"/>
    <w:basedOn w:val="1"/>
    <w:uiPriority w:val="0"/>
    <w:pPr>
      <w:ind w:left="480"/>
    </w:pPr>
  </w:style>
  <w:style w:type="paragraph" w:customStyle="1" w:styleId="35">
    <w:name w:val="TOC 4"/>
    <w:basedOn w:val="1"/>
    <w:uiPriority w:val="0"/>
    <w:pPr>
      <w:ind w:left="720"/>
    </w:pPr>
  </w:style>
  <w:style w:type="paragraph" w:customStyle="1" w:styleId="36">
    <w:name w:val="TOC 1"/>
    <w:basedOn w:val="1"/>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33</Pages>
  <Words>11536</Words>
  <Characters>13355</Characters>
  <Lines>2235</Lines>
  <Paragraphs>1452</Paragraphs>
  <TotalTime>21</TotalTime>
  <ScaleCrop>false</ScaleCrop>
  <LinksUpToDate>false</LinksUpToDate>
  <CharactersWithSpaces>13510</CharactersWithSpaces>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2022-02-15T07:27:00Z</dcterms:created>
  <dc:creator>Administrator</dc:creator>
  <cp:lastModifiedBy>5963</cp:lastModifiedBy>
  <dcterms:modified xsi:type="dcterms:W3CDTF">2024-01-16T11:21:26Z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323BD32FC99647928513A291EFE1D9EF</vt:lpwstr>
  </property>
</Properties>
</file>